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4232EC" w:rsidP="00D863CD">
      <w:pPr>
        <w:spacing w:after="0"/>
        <w:rPr>
          <w:rFonts w:ascii="Arial" w:hAnsi="Arial" w:cs="Arial"/>
        </w:rPr>
      </w:pP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649327E1" wp14:editId="20A70BB8">
            <wp:simplePos x="0" y="0"/>
            <wp:positionH relativeFrom="column">
              <wp:posOffset>4650105</wp:posOffset>
            </wp:positionH>
            <wp:positionV relativeFrom="paragraph">
              <wp:posOffset>10160</wp:posOffset>
            </wp:positionV>
            <wp:extent cx="2188845" cy="653415"/>
            <wp:effectExtent l="0" t="0" r="1905" b="0"/>
            <wp:wrapNone/>
            <wp:docPr id="1" name="Picture 1" descr="CYSCP logo -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SCP logo - no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5" cy="653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47B43"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163830</wp:posOffset>
            </wp:positionH>
            <wp:positionV relativeFrom="paragraph">
              <wp:posOffset>14605</wp:posOffset>
            </wp:positionV>
            <wp:extent cx="2928620" cy="62992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620" cy="629920"/>
                    </a:xfrm>
                    <a:prstGeom prst="rect">
                      <a:avLst/>
                    </a:prstGeom>
                  </pic:spPr>
                </pic:pic>
              </a:graphicData>
            </a:graphic>
            <wp14:sizeRelH relativeFrom="margin">
              <wp14:pctWidth>0</wp14:pctWidth>
            </wp14:sizeRelH>
            <wp14:sizeRelV relativeFrom="margin">
              <wp14:pctHeight>0</wp14:pctHeight>
            </wp14:sizeRelV>
          </wp:anchor>
        </w:drawing>
      </w:r>
    </w:p>
    <w:p w:rsidR="00C61626" w:rsidRDefault="004232EC" w:rsidP="00D863CD">
      <w:pPr>
        <w:spacing w:after="0"/>
        <w:rPr>
          <w:rFonts w:ascii="Arial" w:hAnsi="Arial" w:cs="Arial"/>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1" locked="0" layoutInCell="1" allowOverlap="1">
                <wp:simplePos x="0" y="0"/>
                <wp:positionH relativeFrom="column">
                  <wp:posOffset>1678305</wp:posOffset>
                </wp:positionH>
                <wp:positionV relativeFrom="paragraph">
                  <wp:posOffset>60325</wp:posOffset>
                </wp:positionV>
                <wp:extent cx="3467100" cy="706120"/>
                <wp:effectExtent l="0" t="0" r="19050" b="17780"/>
                <wp:wrapNone/>
                <wp:docPr id="4" name="Text Box 4"/>
                <wp:cNvGraphicFramePr/>
                <a:graphic xmlns:a="http://schemas.openxmlformats.org/drawingml/2006/main">
                  <a:graphicData uri="http://schemas.microsoft.com/office/word/2010/wordprocessingShape">
                    <wps:wsp>
                      <wps:cNvSpPr txBox="1"/>
                      <wps:spPr>
                        <a:xfrm>
                          <a:off x="0" y="0"/>
                          <a:ext cx="3467100" cy="706120"/>
                        </a:xfrm>
                        <a:prstGeom prst="rect">
                          <a:avLst/>
                        </a:prstGeom>
                        <a:solidFill>
                          <a:schemeClr val="lt1"/>
                        </a:solidFill>
                        <a:ln w="6350">
                          <a:solidFill>
                            <a:schemeClr val="bg1"/>
                          </a:solidFill>
                        </a:ln>
                      </wps:spPr>
                      <wps:txbx>
                        <w:txbxContent>
                          <w:p w:rsidR="00D863CD" w:rsidRPr="003C46E7" w:rsidRDefault="00D863CD" w:rsidP="00D863CD">
                            <w:pPr>
                              <w:spacing w:after="0" w:line="240" w:lineRule="auto"/>
                              <w:jc w:val="center"/>
                              <w:rPr>
                                <w:sz w:val="2"/>
                                <w:szCs w:val="48"/>
                              </w:rPr>
                            </w:pPr>
                          </w:p>
                          <w:p w:rsidR="00847B43" w:rsidRDefault="00847B43" w:rsidP="00847B43">
                            <w:pPr>
                              <w:spacing w:after="0" w:line="240" w:lineRule="auto"/>
                              <w:jc w:val="center"/>
                              <w:rPr>
                                <w:b/>
                                <w:color w:val="0070C0"/>
                                <w:sz w:val="48"/>
                                <w:szCs w:val="48"/>
                              </w:rPr>
                            </w:pPr>
                          </w:p>
                          <w:p w:rsidR="00D67C2D" w:rsidRPr="003C46E7" w:rsidRDefault="004232EC" w:rsidP="00847B43">
                            <w:pPr>
                              <w:spacing w:after="0" w:line="240" w:lineRule="auto"/>
                              <w:jc w:val="center"/>
                              <w:rPr>
                                <w:b/>
                                <w:color w:val="0070C0"/>
                                <w:sz w:val="2"/>
                                <w:szCs w:val="48"/>
                              </w:rPr>
                            </w:pPr>
                            <w:r>
                              <w:rPr>
                                <w:b/>
                                <w:color w:val="FF6600"/>
                                <w:szCs w:val="48"/>
                              </w:rPr>
                              <w:t>(May 2021)</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2.15pt;margin-top:4.75pt;width:273pt;height:5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" fillcolor="white [3201]" strokecolor="white [3212]" strokeweight=".5pt">
                <v:textbox>
                  <w:txbxContent>
                    <w:p w:rsidR="00D863CD" w:rsidRPr="003C46E7" w:rsidRDefault="00D863CD" w:rsidP="00D863CD">
                      <w:pPr>
                        <w:spacing w:after="0" w:line="240" w:lineRule="auto"/>
                        <w:jc w:val="center"/>
                        <w:rPr>
                          <w:sz w:val="2"/>
                          <w:szCs w:val="48"/>
                        </w:rPr>
                      </w:pPr>
                    </w:p>
                    <w:p w:rsidR="00847B43" w:rsidRDefault="00847B43" w:rsidP="00847B43">
                      <w:pPr>
                        <w:spacing w:after="0" w:line="240" w:lineRule="auto"/>
                        <w:jc w:val="center"/>
                        <w:rPr>
                          <w:b/>
                          <w:color w:val="0070C0"/>
                          <w:sz w:val="48"/>
                          <w:szCs w:val="48"/>
                        </w:rPr>
                      </w:pPr>
                    </w:p>
                    <w:p w:rsidR="00D67C2D" w:rsidRPr="003C46E7" w:rsidRDefault="004232EC" w:rsidP="00847B43">
                      <w:pPr>
                        <w:spacing w:after="0" w:line="240" w:lineRule="auto"/>
                        <w:jc w:val="center"/>
                        <w:rPr>
                          <w:b/>
                          <w:color w:val="0070C0"/>
                          <w:sz w:val="2"/>
                          <w:szCs w:val="48"/>
                        </w:rPr>
                      </w:pPr>
                      <w:r>
                        <w:rPr>
                          <w:b/>
                          <w:color w:val="FF6600"/>
                          <w:szCs w:val="48"/>
                        </w:rPr>
                        <w:t>(May 2021)</w:t>
                      </w:r>
                    </w:p>
                    <w:p w:rsidR="00D67C2D" w:rsidRPr="003C46E7" w:rsidRDefault="00D67C2D" w:rsidP="00D863CD">
                      <w:pPr>
                        <w:spacing w:after="0" w:line="240" w:lineRule="auto"/>
                        <w:jc w:val="center"/>
                        <w:rPr>
                          <w:b/>
                          <w:color w:val="0070C0"/>
                          <w:sz w:val="2"/>
                          <w:szCs w:val="48"/>
                        </w:rPr>
                      </w:pPr>
                    </w:p>
                  </w:txbxContent>
                </v:textbox>
              </v:shape>
            </w:pict>
          </mc:Fallback>
        </mc:AlternateContent>
      </w:r>
    </w:p>
    <w:p w:rsidR="00D863CD" w:rsidRPr="00FF7544" w:rsidRDefault="00D863CD" w:rsidP="00D863CD">
      <w:pPr>
        <w:spacing w:after="0"/>
        <w:rPr>
          <w:rFonts w:ascii="Arial" w:hAnsi="Arial" w:cs="Arial"/>
        </w:rPr>
      </w:pPr>
    </w:p>
    <w:p w:rsidR="004232EC" w:rsidRDefault="004232EC" w:rsidP="00D863CD">
      <w:pPr>
        <w:rPr>
          <w:rFonts w:ascii="Arial" w:hAnsi="Arial" w:cs="Arial"/>
        </w:rPr>
      </w:pPr>
    </w:p>
    <w:p w:rsidR="004232EC" w:rsidRDefault="004232EC" w:rsidP="00D863CD">
      <w:pPr>
        <w:rPr>
          <w:rFonts w:ascii="Arial" w:hAnsi="Arial" w:cs="Arial"/>
        </w:rPr>
      </w:pPr>
    </w:p>
    <w:p w:rsidR="004232EC" w:rsidRPr="004232EC" w:rsidRDefault="004232EC" w:rsidP="004232EC">
      <w:pPr>
        <w:jc w:val="center"/>
        <w:rPr>
          <w:rFonts w:ascii="Arial" w:hAnsi="Arial" w:cs="Arial"/>
          <w:b/>
          <w:color w:val="2F5496" w:themeColor="accent5" w:themeShade="BF"/>
          <w:sz w:val="36"/>
        </w:rPr>
      </w:pPr>
      <w:r w:rsidRPr="004232EC">
        <w:rPr>
          <w:rFonts w:ascii="Arial" w:hAnsi="Arial" w:cs="Arial"/>
          <w:b/>
          <w:color w:val="2F5496" w:themeColor="accent5" w:themeShade="BF"/>
          <w:sz w:val="36"/>
        </w:rPr>
        <w:t xml:space="preserve">SUDDEN AND UNEXPECTED DEATHS IN INFANCY </w:t>
      </w:r>
    </w:p>
    <w:p w:rsidR="00697306" w:rsidRDefault="004232EC" w:rsidP="00697306">
      <w:pPr>
        <w:jc w:val="center"/>
        <w:rPr>
          <w:rFonts w:ascii="Arial" w:hAnsi="Arial" w:cs="Arial"/>
          <w:b/>
          <w:color w:val="2F5496" w:themeColor="accent5" w:themeShade="BF"/>
          <w:sz w:val="36"/>
        </w:rPr>
      </w:pPr>
      <w:r w:rsidRPr="004232EC">
        <w:rPr>
          <w:rFonts w:ascii="Arial" w:hAnsi="Arial" w:cs="Arial"/>
          <w:b/>
          <w:color w:val="2F5496" w:themeColor="accent5" w:themeShade="BF"/>
          <w:sz w:val="36"/>
        </w:rPr>
        <w:t>(SUDI) PREVENTION</w:t>
      </w:r>
    </w:p>
    <w:p w:rsidR="00D863CD" w:rsidRPr="00697306" w:rsidRDefault="00697306" w:rsidP="00697306">
      <w:pPr>
        <w:jc w:val="center"/>
        <w:rPr>
          <w:rFonts w:ascii="Arial" w:hAnsi="Arial" w:cs="Arial"/>
          <w:b/>
          <w:color w:val="2F5496" w:themeColor="accent5" w:themeShade="BF"/>
          <w:sz w:val="36"/>
        </w:rPr>
      </w:pP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posOffset>0</wp:posOffset>
            </wp:positionH>
            <wp:positionV relativeFrom="paragraph">
              <wp:posOffset>252730</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254000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400DB"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left:0;text-align:left;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D863CD" w:rsidP="00D863CD">
      <w:pPr>
        <w:rPr>
          <w:rFonts w:ascii="Arial" w:hAnsi="Arial" w:cs="Arial"/>
        </w:rPr>
      </w:pPr>
    </w:p>
    <w:p w:rsidR="00D863CD" w:rsidRPr="00FF7544" w:rsidRDefault="00D863CD" w:rsidP="00D863CD">
      <w:pPr>
        <w:rPr>
          <w:rFonts w:ascii="Arial" w:hAnsi="Arial" w:cs="Arial"/>
        </w:rPr>
        <w:sectPr w:rsidR="00D863CD" w:rsidRPr="00FF7544" w:rsidSect="00C61626">
          <w:headerReference w:type="even" r:id="rId11"/>
          <w:headerReference w:type="default" r:id="rId12"/>
          <w:footerReference w:type="even" r:id="rId13"/>
          <w:footerReference w:type="default" r:id="rId14"/>
          <w:headerReference w:type="first" r:id="rId15"/>
          <w:footerReference w:type="first" r:id="rId16"/>
          <w:pgSz w:w="11906" w:h="16838"/>
          <w:pgMar w:top="232" w:right="567" w:bottom="232" w:left="567" w:header="709" w:footer="113" w:gutter="0"/>
          <w:cols w:space="708"/>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rsidR="004232EC" w:rsidRPr="00697306" w:rsidRDefault="004232EC" w:rsidP="004232EC">
      <w:pPr>
        <w:spacing w:after="160" w:line="256" w:lineRule="auto"/>
        <w:jc w:val="both"/>
        <w:rPr>
          <w:rFonts w:ascii="Arial" w:hAnsi="Arial" w:cs="Arial"/>
          <w:b/>
          <w:bCs/>
          <w:color w:val="2F5496" w:themeColor="accent5" w:themeShade="BF"/>
          <w:sz w:val="28"/>
          <w:szCs w:val="28"/>
          <w14:ligatures w14:val="none"/>
        </w:rPr>
      </w:pPr>
      <w:r w:rsidRPr="00697306">
        <w:rPr>
          <w:rFonts w:ascii="Arial" w:hAnsi="Arial" w:cs="Arial"/>
          <w:b/>
          <w:bCs/>
          <w:color w:val="2F5496" w:themeColor="accent5" w:themeShade="BF"/>
          <w:sz w:val="28"/>
          <w:szCs w:val="28"/>
          <w14:ligatures w14:val="none"/>
        </w:rPr>
        <w:t>What is SUDI?</w:t>
      </w:r>
    </w:p>
    <w:p w:rsidR="004232EC" w:rsidRDefault="004232EC" w:rsidP="004232EC">
      <w:pPr>
        <w:spacing w:after="160" w:line="256" w:lineRule="auto"/>
        <w:jc w:val="both"/>
        <w:rPr>
          <w:rFonts w:ascii="Arial" w:hAnsi="Arial" w:cs="Arial"/>
          <w:sz w:val="22"/>
          <w:szCs w:val="22"/>
          <w14:ligatures w14:val="none"/>
        </w:rPr>
      </w:pPr>
      <w:r>
        <w:rPr>
          <w:rFonts w:ascii="Arial" w:hAnsi="Arial" w:cs="Arial"/>
          <w:sz w:val="22"/>
          <w:szCs w:val="22"/>
          <w14:ligatures w14:val="none"/>
        </w:rPr>
        <w:t>The sudden and unexpected death of a baby is usually referred to by professionals as ‘sudden unexpected death in infancy’ (SUDI). The death of a baby which is unexpected is also sometimes referred to as ‘sudden infant death’.</w:t>
      </w:r>
    </w:p>
    <w:p w:rsidR="004232EC" w:rsidRDefault="004232EC" w:rsidP="004232EC">
      <w:pPr>
        <w:spacing w:after="160" w:line="256" w:lineRule="auto"/>
        <w:jc w:val="both"/>
        <w:rPr>
          <w:rFonts w:ascii="Arial" w:hAnsi="Arial" w:cs="Arial"/>
          <w:sz w:val="22"/>
          <w:szCs w:val="22"/>
          <w14:ligatures w14:val="none"/>
        </w:rPr>
      </w:pPr>
      <w:r>
        <w:rPr>
          <w:rFonts w:ascii="Arial" w:hAnsi="Arial" w:cs="Arial"/>
          <w:sz w:val="22"/>
          <w:szCs w:val="22"/>
          <w14:ligatures w14:val="none"/>
        </w:rPr>
        <w:t>Some sudden and unexpected deaths can be explained by the post-mortem examination, however deaths that remain unexplained are usually registered as ‘sudden infant death syndrome’ (SIDS).  Sometimes other terms such as SUDI or ‘unascertained’ may be used.</w:t>
      </w:r>
    </w:p>
    <w:p w:rsidR="004232EC" w:rsidRPr="00697306" w:rsidRDefault="004232EC" w:rsidP="004232EC">
      <w:pPr>
        <w:spacing w:after="160" w:line="256" w:lineRule="auto"/>
        <w:jc w:val="both"/>
        <w:rPr>
          <w:rFonts w:ascii="Arial" w:hAnsi="Arial" w:cs="Arial"/>
          <w:b/>
          <w:bCs/>
          <w:color w:val="2F5496" w:themeColor="accent5" w:themeShade="BF"/>
          <w:sz w:val="28"/>
          <w:szCs w:val="28"/>
          <w14:ligatures w14:val="none"/>
        </w:rPr>
      </w:pPr>
      <w:r w:rsidRPr="00697306">
        <w:rPr>
          <w:rFonts w:ascii="Arial" w:hAnsi="Arial" w:cs="Arial"/>
          <w:b/>
          <w:bCs/>
          <w:color w:val="2F5496" w:themeColor="accent5" w:themeShade="BF"/>
          <w:sz w:val="28"/>
          <w:szCs w:val="28"/>
          <w14:ligatures w14:val="none"/>
        </w:rPr>
        <w:t>Known risk factors that can contribute to SUDI</w:t>
      </w:r>
    </w:p>
    <w:p w:rsidR="004232EC" w:rsidRPr="004232EC" w:rsidRDefault="004232EC" w:rsidP="004232EC">
      <w:pPr>
        <w:pStyle w:val="ListParagraph"/>
        <w:numPr>
          <w:ilvl w:val="0"/>
          <w:numId w:val="12"/>
        </w:numPr>
        <w:spacing w:after="160" w:line="256" w:lineRule="auto"/>
        <w:jc w:val="both"/>
        <w:rPr>
          <w:rFonts w:ascii="Arial" w:hAnsi="Arial" w:cs="Arial"/>
          <w:sz w:val="22"/>
          <w:szCs w:val="22"/>
          <w14:ligatures w14:val="none"/>
        </w:rPr>
      </w:pPr>
      <w:r w:rsidRPr="004232EC">
        <w:rPr>
          <w:rFonts w:ascii="Arial" w:hAnsi="Arial" w:cs="Arial"/>
          <w:sz w:val="22"/>
          <w:szCs w:val="22"/>
          <w14:ligatures w14:val="none"/>
        </w:rPr>
        <w:t>Parents who smoke or have consumed alcohol or substances (including prescription medication that may make them drowsy)</w:t>
      </w:r>
    </w:p>
    <w:p w:rsidR="004232EC" w:rsidRPr="004232EC" w:rsidRDefault="004232EC" w:rsidP="004232EC">
      <w:pPr>
        <w:pStyle w:val="ListParagraph"/>
        <w:widowControl w:val="0"/>
        <w:numPr>
          <w:ilvl w:val="0"/>
          <w:numId w:val="12"/>
        </w:numPr>
        <w:spacing w:after="0"/>
        <w:jc w:val="both"/>
        <w:rPr>
          <w:rFonts w:ascii="Arial" w:hAnsi="Arial" w:cs="Arial"/>
          <w:sz w:val="22"/>
          <w:szCs w:val="22"/>
          <w14:ligatures w14:val="none"/>
        </w:rPr>
      </w:pPr>
      <w:r w:rsidRPr="004232EC">
        <w:rPr>
          <w:rFonts w:ascii="Arial" w:hAnsi="Arial" w:cs="Arial"/>
          <w:sz w:val="22"/>
          <w:szCs w:val="22"/>
          <w14:ligatures w14:val="none"/>
        </w:rPr>
        <w:t>Smoking, alcohol and/or substance misuse in pregnancy</w:t>
      </w:r>
    </w:p>
    <w:p w:rsidR="004232EC" w:rsidRPr="004232EC" w:rsidRDefault="004232EC" w:rsidP="004232EC">
      <w:pPr>
        <w:pStyle w:val="ListParagraph"/>
        <w:widowControl w:val="0"/>
        <w:numPr>
          <w:ilvl w:val="0"/>
          <w:numId w:val="12"/>
        </w:numPr>
        <w:spacing w:after="0"/>
        <w:jc w:val="both"/>
        <w:rPr>
          <w:rFonts w:ascii="Arial" w:hAnsi="Arial" w:cs="Arial"/>
          <w:sz w:val="22"/>
          <w:szCs w:val="22"/>
          <w14:ligatures w14:val="none"/>
        </w:rPr>
      </w:pPr>
      <w:r w:rsidRPr="004232EC">
        <w:rPr>
          <w:rFonts w:ascii="Arial" w:hAnsi="Arial" w:cs="Arial"/>
          <w:sz w:val="22"/>
          <w:szCs w:val="22"/>
          <w14:ligatures w14:val="none"/>
        </w:rPr>
        <w:t>Babies born before 37 weeks or who have a birth weight less than 2.5kg</w:t>
      </w:r>
    </w:p>
    <w:p w:rsidR="004232EC" w:rsidRPr="004232EC" w:rsidRDefault="004232EC" w:rsidP="004232EC">
      <w:pPr>
        <w:pStyle w:val="ListParagraph"/>
        <w:widowControl w:val="0"/>
        <w:numPr>
          <w:ilvl w:val="0"/>
          <w:numId w:val="12"/>
        </w:numPr>
        <w:spacing w:after="0"/>
        <w:jc w:val="both"/>
        <w:rPr>
          <w:rFonts w:ascii="Arial" w:hAnsi="Arial" w:cs="Arial"/>
          <w:sz w:val="22"/>
          <w:szCs w:val="22"/>
          <w14:ligatures w14:val="none"/>
        </w:rPr>
      </w:pPr>
      <w:r w:rsidRPr="004232EC">
        <w:rPr>
          <w:rFonts w:ascii="Arial" w:hAnsi="Arial" w:cs="Arial"/>
          <w:sz w:val="22"/>
          <w:szCs w:val="22"/>
          <w14:ligatures w14:val="none"/>
        </w:rPr>
        <w:t xml:space="preserve">Co-sleeping when known risk factors are present </w:t>
      </w:r>
    </w:p>
    <w:p w:rsidR="004232EC" w:rsidRPr="004232EC" w:rsidRDefault="004232EC" w:rsidP="004232EC">
      <w:pPr>
        <w:pStyle w:val="ListParagraph"/>
        <w:widowControl w:val="0"/>
        <w:numPr>
          <w:ilvl w:val="0"/>
          <w:numId w:val="12"/>
        </w:numPr>
        <w:spacing w:after="0"/>
        <w:jc w:val="both"/>
        <w:rPr>
          <w:rFonts w:ascii="Arial" w:hAnsi="Arial" w:cs="Arial"/>
          <w:sz w:val="22"/>
          <w:szCs w:val="22"/>
          <w14:ligatures w14:val="none"/>
        </w:rPr>
      </w:pPr>
      <w:r w:rsidRPr="004232EC">
        <w:rPr>
          <w:rFonts w:ascii="Arial" w:hAnsi="Arial" w:cs="Arial"/>
          <w:sz w:val="22"/>
          <w:szCs w:val="22"/>
          <w14:ligatures w14:val="none"/>
        </w:rPr>
        <w:t>Parental mental ill-health and domestic abuse</w:t>
      </w:r>
    </w:p>
    <w:p w:rsidR="004232EC" w:rsidRPr="004232EC" w:rsidRDefault="004232EC" w:rsidP="004232EC">
      <w:pPr>
        <w:pStyle w:val="ListParagraph"/>
        <w:widowControl w:val="0"/>
        <w:numPr>
          <w:ilvl w:val="0"/>
          <w:numId w:val="12"/>
        </w:numPr>
        <w:spacing w:after="0"/>
        <w:jc w:val="both"/>
        <w:rPr>
          <w:rFonts w:ascii="Arial" w:hAnsi="Arial" w:cs="Arial"/>
          <w:sz w:val="22"/>
          <w:szCs w:val="22"/>
          <w14:ligatures w14:val="none"/>
        </w:rPr>
      </w:pPr>
      <w:r w:rsidRPr="004232EC">
        <w:rPr>
          <w:rFonts w:ascii="Arial" w:hAnsi="Arial" w:cs="Arial"/>
          <w:sz w:val="22"/>
          <w:szCs w:val="22"/>
          <w14:ligatures w14:val="none"/>
        </w:rPr>
        <w:t>Overcrowding, poor housing and social deprivation</w:t>
      </w:r>
    </w:p>
    <w:p w:rsidR="004232EC" w:rsidRDefault="004232EC" w:rsidP="004232EC">
      <w:pPr>
        <w:pStyle w:val="ListParagraph"/>
        <w:widowControl w:val="0"/>
        <w:numPr>
          <w:ilvl w:val="0"/>
          <w:numId w:val="12"/>
        </w:numPr>
        <w:spacing w:after="0"/>
        <w:jc w:val="both"/>
        <w:rPr>
          <w:rFonts w:ascii="Arial" w:hAnsi="Arial" w:cs="Arial"/>
          <w:sz w:val="22"/>
          <w:szCs w:val="22"/>
          <w14:ligatures w14:val="none"/>
        </w:rPr>
      </w:pPr>
      <w:r w:rsidRPr="004232EC">
        <w:rPr>
          <w:rFonts w:ascii="Arial" w:hAnsi="Arial" w:cs="Arial"/>
          <w:sz w:val="22"/>
          <w:szCs w:val="22"/>
          <w14:ligatures w14:val="none"/>
        </w:rPr>
        <w:t xml:space="preserve">Disruption to normal routines prior to ‘the last sleep’ </w:t>
      </w:r>
    </w:p>
    <w:p w:rsidR="004232EC" w:rsidRDefault="004232EC" w:rsidP="004232EC">
      <w:pPr>
        <w:widowControl w:val="0"/>
        <w:spacing w:after="0"/>
        <w:jc w:val="both"/>
        <w:rPr>
          <w:rFonts w:ascii="Arial" w:hAnsi="Arial" w:cs="Arial"/>
          <w:sz w:val="22"/>
          <w:szCs w:val="22"/>
          <w14:ligatures w14:val="none"/>
        </w:rPr>
      </w:pPr>
    </w:p>
    <w:p w:rsidR="004232EC" w:rsidRDefault="004232EC" w:rsidP="004232EC">
      <w:pPr>
        <w:widowControl w:val="0"/>
        <w:spacing w:after="0"/>
        <w:jc w:val="both"/>
        <w:rPr>
          <w:rFonts w:ascii="Arial" w:hAnsi="Arial" w:cs="Arial"/>
          <w:sz w:val="22"/>
          <w:szCs w:val="22"/>
          <w14:ligatures w14:val="none"/>
        </w:rPr>
      </w:pPr>
      <w:r>
        <w:rPr>
          <w:rFonts w:ascii="Arial" w:hAnsi="Arial" w:cs="Arial"/>
          <w:sz w:val="22"/>
          <w:szCs w:val="22"/>
          <w14:ligatures w14:val="none"/>
        </w:rPr>
        <w:t>A key role for professionals is to support parents to apply safer sleeping practice particularly where situational risk or ‘out of routine sleeping’ may be a factor.  Key examples are:</w:t>
      </w:r>
    </w:p>
    <w:p w:rsidR="004232EC" w:rsidRDefault="004232EC" w:rsidP="004232EC">
      <w:pPr>
        <w:widowControl w:val="0"/>
        <w:spacing w:after="0"/>
        <w:jc w:val="both"/>
        <w:rPr>
          <w:rFonts w:ascii="Arial" w:hAnsi="Arial" w:cs="Arial"/>
          <w:sz w:val="22"/>
          <w:szCs w:val="22"/>
          <w14:ligatures w14:val="none"/>
        </w:rPr>
      </w:pPr>
    </w:p>
    <w:p w:rsidR="004232EC" w:rsidRPr="004232EC" w:rsidRDefault="004232EC" w:rsidP="004232EC">
      <w:pPr>
        <w:pStyle w:val="ListParagraph"/>
        <w:widowControl w:val="0"/>
        <w:numPr>
          <w:ilvl w:val="0"/>
          <w:numId w:val="14"/>
        </w:numPr>
        <w:spacing w:after="0"/>
        <w:jc w:val="both"/>
        <w:rPr>
          <w:rFonts w:ascii="Arial" w:hAnsi="Arial" w:cs="Arial"/>
          <w:sz w:val="22"/>
          <w:szCs w:val="22"/>
          <w14:ligatures w14:val="none"/>
        </w:rPr>
      </w:pPr>
      <w:r w:rsidRPr="004232EC">
        <w:rPr>
          <w:rFonts w:ascii="Arial" w:hAnsi="Arial" w:cs="Arial"/>
          <w:sz w:val="22"/>
          <w:szCs w:val="22"/>
          <w14:ligatures w14:val="none"/>
        </w:rPr>
        <w:t>Temporary housing</w:t>
      </w:r>
    </w:p>
    <w:p w:rsidR="004232EC" w:rsidRPr="004232EC" w:rsidRDefault="004232EC" w:rsidP="004232EC">
      <w:pPr>
        <w:pStyle w:val="ListParagraph"/>
        <w:widowControl w:val="0"/>
        <w:numPr>
          <w:ilvl w:val="0"/>
          <w:numId w:val="14"/>
        </w:numPr>
        <w:spacing w:after="0"/>
        <w:jc w:val="both"/>
        <w:rPr>
          <w:rFonts w:ascii="Arial" w:hAnsi="Arial" w:cs="Arial"/>
          <w:sz w:val="22"/>
          <w:szCs w:val="22"/>
          <w14:ligatures w14:val="none"/>
        </w:rPr>
      </w:pPr>
      <w:r w:rsidRPr="004232EC">
        <w:rPr>
          <w:rFonts w:ascii="Arial" w:hAnsi="Arial" w:cs="Arial"/>
          <w:sz w:val="22"/>
          <w:szCs w:val="22"/>
          <w14:ligatures w14:val="none"/>
        </w:rPr>
        <w:t>Altered sleeping arrangements (holidays, family occasions, staying with relatives, illness, fleeing domestic abuse)</w:t>
      </w:r>
    </w:p>
    <w:p w:rsidR="004232EC" w:rsidRPr="004232EC" w:rsidRDefault="004232EC" w:rsidP="004232EC">
      <w:pPr>
        <w:pStyle w:val="ListParagraph"/>
        <w:widowControl w:val="0"/>
        <w:numPr>
          <w:ilvl w:val="0"/>
          <w:numId w:val="14"/>
        </w:numPr>
        <w:spacing w:after="0"/>
        <w:jc w:val="both"/>
        <w:rPr>
          <w:rFonts w:ascii="Arial" w:hAnsi="Arial" w:cs="Arial"/>
          <w:sz w:val="22"/>
          <w:szCs w:val="22"/>
          <w14:ligatures w14:val="none"/>
        </w:rPr>
      </w:pPr>
      <w:r w:rsidRPr="004232EC">
        <w:rPr>
          <w:rFonts w:ascii="Arial" w:hAnsi="Arial" w:cs="Arial"/>
          <w:sz w:val="22"/>
          <w:szCs w:val="22"/>
          <w14:ligatures w14:val="none"/>
        </w:rPr>
        <w:t xml:space="preserve">Planned use of alcohol and prompting arrangements to maintain safer sleep practices </w:t>
      </w:r>
    </w:p>
    <w:p w:rsidR="004232EC" w:rsidRPr="00697306" w:rsidRDefault="004232EC" w:rsidP="00697306">
      <w:pPr>
        <w:pStyle w:val="ListParagraph"/>
        <w:widowControl w:val="0"/>
        <w:numPr>
          <w:ilvl w:val="0"/>
          <w:numId w:val="14"/>
        </w:numPr>
        <w:spacing w:after="0"/>
        <w:jc w:val="both"/>
        <w:rPr>
          <w:rFonts w:ascii="Arial" w:hAnsi="Arial" w:cs="Arial"/>
          <w:sz w:val="22"/>
          <w:szCs w:val="22"/>
          <w14:ligatures w14:val="none"/>
        </w:rPr>
      </w:pPr>
      <w:r w:rsidRPr="004232EC">
        <w:rPr>
          <w:rFonts w:ascii="Arial" w:hAnsi="Arial" w:cs="Arial"/>
          <w:sz w:val="22"/>
          <w:szCs w:val="22"/>
          <w14:ligatures w14:val="none"/>
        </w:rPr>
        <w:t>Deprivation and poverty indicators, overcrowding</w:t>
      </w:r>
    </w:p>
    <w:p w:rsidR="004232EC" w:rsidRPr="004232EC" w:rsidRDefault="004232EC" w:rsidP="004232EC">
      <w:pPr>
        <w:pStyle w:val="ListParagraph"/>
        <w:widowControl w:val="0"/>
        <w:numPr>
          <w:ilvl w:val="0"/>
          <w:numId w:val="14"/>
        </w:numPr>
        <w:spacing w:after="0"/>
        <w:jc w:val="both"/>
        <w:rPr>
          <w:rFonts w:ascii="Arial" w:hAnsi="Arial" w:cs="Arial"/>
          <w:sz w:val="22"/>
          <w:szCs w:val="22"/>
          <w14:ligatures w14:val="none"/>
        </w:rPr>
      </w:pPr>
      <w:r w:rsidRPr="004232EC">
        <w:rPr>
          <w:rFonts w:ascii="Arial" w:hAnsi="Arial" w:cs="Arial"/>
          <w:sz w:val="22"/>
          <w:szCs w:val="22"/>
          <w14:ligatures w14:val="none"/>
        </w:rPr>
        <w:t>Adverse childhood experiences / impact on key messages being understood</w:t>
      </w:r>
    </w:p>
    <w:p w:rsidR="004232EC" w:rsidRPr="004232EC" w:rsidRDefault="004232EC" w:rsidP="004232EC">
      <w:pPr>
        <w:pStyle w:val="ListParagraph"/>
        <w:widowControl w:val="0"/>
        <w:numPr>
          <w:ilvl w:val="0"/>
          <w:numId w:val="13"/>
        </w:numPr>
        <w:spacing w:after="0"/>
        <w:jc w:val="both"/>
        <w:rPr>
          <w:rFonts w:ascii="Arial" w:hAnsi="Arial" w:cs="Arial"/>
          <w:sz w:val="22"/>
          <w:szCs w:val="22"/>
          <w14:ligatures w14:val="none"/>
        </w:rPr>
      </w:pPr>
      <w:r w:rsidRPr="004232EC">
        <w:rPr>
          <w:rFonts w:ascii="Arial" w:hAnsi="Arial" w:cs="Arial"/>
          <w:sz w:val="22"/>
          <w:szCs w:val="22"/>
          <w14:ligatures w14:val="none"/>
        </w:rPr>
        <w:t>Late booking and poor antenatal/postnatal engagement</w:t>
      </w:r>
    </w:p>
    <w:p w:rsidR="004232EC" w:rsidRPr="004232EC" w:rsidRDefault="004232EC" w:rsidP="004232EC">
      <w:pPr>
        <w:pStyle w:val="ListParagraph"/>
        <w:widowControl w:val="0"/>
        <w:numPr>
          <w:ilvl w:val="0"/>
          <w:numId w:val="13"/>
        </w:numPr>
        <w:spacing w:after="0"/>
        <w:jc w:val="both"/>
        <w:rPr>
          <w:rFonts w:ascii="Arial" w:hAnsi="Arial" w:cs="Arial"/>
          <w:sz w:val="22"/>
          <w:szCs w:val="22"/>
          <w14:ligatures w14:val="none"/>
        </w:rPr>
      </w:pPr>
      <w:r w:rsidRPr="004232EC">
        <w:rPr>
          <w:rFonts w:ascii="Arial" w:hAnsi="Arial" w:cs="Arial"/>
          <w:sz w:val="22"/>
          <w:szCs w:val="22"/>
          <w14:ligatures w14:val="none"/>
        </w:rPr>
        <w:t>Evidence of neglect, domestic abuse and parental criminality</w:t>
      </w:r>
    </w:p>
    <w:p w:rsidR="004232EC" w:rsidRDefault="004232EC" w:rsidP="004232EC">
      <w:pPr>
        <w:widowControl w:val="0"/>
        <w:spacing w:after="0"/>
        <w:jc w:val="both"/>
        <w:rPr>
          <w:rFonts w:ascii="Arial" w:hAnsi="Arial" w:cs="Arial"/>
          <w:sz w:val="22"/>
          <w:szCs w:val="22"/>
          <w14:ligatures w14:val="none"/>
        </w:rPr>
      </w:pPr>
      <w:r>
        <w:rPr>
          <w:rFonts w:ascii="Arial" w:hAnsi="Arial" w:cs="Arial"/>
          <w:sz w:val="22"/>
          <w:szCs w:val="22"/>
          <w14:ligatures w14:val="none"/>
        </w:rPr>
        <w:t> </w:t>
      </w:r>
    </w:p>
    <w:p w:rsidR="004232EC" w:rsidRPr="00697306" w:rsidRDefault="004232EC" w:rsidP="004232EC">
      <w:pPr>
        <w:spacing w:after="160" w:line="256" w:lineRule="auto"/>
        <w:jc w:val="both"/>
        <w:rPr>
          <w:rFonts w:ascii="Arial" w:hAnsi="Arial" w:cs="Arial"/>
          <w:b/>
          <w:bCs/>
          <w:color w:val="2F5496" w:themeColor="accent5" w:themeShade="BF"/>
          <w:sz w:val="28"/>
          <w:szCs w:val="28"/>
          <w14:ligatures w14:val="none"/>
        </w:rPr>
      </w:pPr>
      <w:r w:rsidRPr="00697306">
        <w:rPr>
          <w:rFonts w:ascii="Arial" w:hAnsi="Arial" w:cs="Arial"/>
          <w:b/>
          <w:bCs/>
          <w:color w:val="2F5496" w:themeColor="accent5" w:themeShade="BF"/>
          <w:sz w:val="28"/>
          <w:szCs w:val="28"/>
          <w14:ligatures w14:val="none"/>
        </w:rPr>
        <w:t>The Local Picture</w:t>
      </w:r>
    </w:p>
    <w:p w:rsidR="004232EC" w:rsidRDefault="004232EC" w:rsidP="004232EC">
      <w:pPr>
        <w:spacing w:after="0"/>
        <w:jc w:val="both"/>
        <w:rPr>
          <w:rFonts w:ascii="Arial" w:hAnsi="Arial" w:cs="Arial"/>
          <w:sz w:val="22"/>
          <w:szCs w:val="22"/>
          <w14:ligatures w14:val="none"/>
        </w:rPr>
      </w:pPr>
      <w:r>
        <w:rPr>
          <w:rFonts w:ascii="Arial" w:hAnsi="Arial" w:cs="Arial"/>
          <w:sz w:val="22"/>
          <w:szCs w:val="22"/>
          <w14:ligatures w14:val="none"/>
        </w:rPr>
        <w:t>North Yorkshire and York Safeguarding Children Partnerships have seen a sharp increase in the number of babies who have died as a result of unsafe sleep practices.  In response to this increase, the North Yorkshire and York (NYY) Child Death Overview Panel (CDOP) have agreed to focus on safer sleep and SUDI Prevention as one of their  priorities to raise awareness and training to help prevent SUDI going forward.</w:t>
      </w:r>
    </w:p>
    <w:p w:rsidR="004232EC" w:rsidRDefault="004232EC" w:rsidP="004232EC">
      <w:pPr>
        <w:spacing w:after="0"/>
        <w:jc w:val="both"/>
        <w:rPr>
          <w:rFonts w:ascii="Arial" w:hAnsi="Arial" w:cs="Arial"/>
          <w:sz w:val="22"/>
          <w:szCs w:val="22"/>
          <w14:ligatures w14:val="none"/>
        </w:rPr>
      </w:pPr>
    </w:p>
    <w:p w:rsidR="004232EC" w:rsidRPr="00697306" w:rsidRDefault="004232EC" w:rsidP="004232EC">
      <w:pPr>
        <w:spacing w:after="0"/>
        <w:jc w:val="both"/>
        <w:rPr>
          <w:rFonts w:ascii="Arial" w:hAnsi="Arial" w:cs="Arial"/>
          <w:b/>
          <w:bCs/>
          <w:color w:val="2F5496" w:themeColor="accent5" w:themeShade="BF"/>
          <w:sz w:val="28"/>
          <w:szCs w:val="28"/>
          <w14:ligatures w14:val="none"/>
        </w:rPr>
      </w:pPr>
      <w:r w:rsidRPr="00697306">
        <w:rPr>
          <w:rFonts w:ascii="Arial" w:hAnsi="Arial" w:cs="Arial"/>
          <w:b/>
          <w:bCs/>
          <w:color w:val="2F5496" w:themeColor="accent5" w:themeShade="BF"/>
          <w:sz w:val="28"/>
          <w:szCs w:val="28"/>
          <w14:ligatures w14:val="none"/>
        </w:rPr>
        <w:t>The National Picture</w:t>
      </w:r>
    </w:p>
    <w:p w:rsidR="004232EC" w:rsidRDefault="004232EC" w:rsidP="004232EC">
      <w:pPr>
        <w:widowControl w:val="0"/>
        <w:jc w:val="both"/>
        <w:rPr>
          <w:rFonts w:ascii="Arial" w:hAnsi="Arial" w:cs="Arial"/>
          <w:sz w:val="22"/>
          <w:szCs w:val="22"/>
          <w14:ligatures w14:val="none"/>
        </w:rPr>
      </w:pPr>
      <w:r>
        <w:rPr>
          <w:rFonts w:ascii="Arial" w:hAnsi="Arial" w:cs="Arial"/>
          <w:sz w:val="22"/>
          <w:szCs w:val="22"/>
          <w14:ligatures w14:val="none"/>
        </w:rPr>
        <w:t>Over 300 babies and young children still die every year from SUDI in the United Kingdom.  National research coordinated by the Lullaby Trust has established some key modifiable factors associated with an increased risk of SUDI.</w:t>
      </w:r>
    </w:p>
    <w:p w:rsidR="004232EC" w:rsidRDefault="004232EC" w:rsidP="004232EC">
      <w:pPr>
        <w:spacing w:after="0"/>
        <w:jc w:val="both"/>
        <w:rPr>
          <w:rFonts w:ascii="Arial" w:hAnsi="Arial" w:cs="Arial"/>
          <w:sz w:val="22"/>
          <w:szCs w:val="22"/>
          <w14:ligatures w14:val="none"/>
        </w:rPr>
      </w:pPr>
      <w:r>
        <w:rPr>
          <w:rFonts w:ascii="Arial" w:hAnsi="Arial" w:cs="Arial"/>
          <w:sz w:val="22"/>
          <w:szCs w:val="22"/>
          <w14:ligatures w14:val="none"/>
        </w:rPr>
        <w:t xml:space="preserve">In July 2020 the National Child Safeguarding Practice Review Panel published a Thematic Report on SUDI which described the findings from </w:t>
      </w:r>
      <w:r>
        <w:rPr>
          <w:rFonts w:ascii="Arial" w:hAnsi="Arial" w:cs="Arial"/>
          <w:sz w:val="22"/>
          <w:szCs w:val="22"/>
          <w14:ligatures w14:val="none"/>
        </w:rPr>
        <w:lastRenderedPageBreak/>
        <w:t xml:space="preserve">a review into SUDIs in families with known vulnerabilities   </w:t>
      </w:r>
      <w:hyperlink r:id="rId17" w:history="1">
        <w:r>
          <w:rPr>
            <w:rStyle w:val="Hyperlink"/>
            <w:rFonts w:ascii="Arial" w:hAnsi="Arial" w:cs="Arial"/>
            <w:sz w:val="22"/>
            <w:szCs w:val="22"/>
            <w14:ligatures w14:val="none"/>
          </w:rPr>
          <w:t>https://assets.publishing.service.gov.uk/government/uploads/system/uploads/attachment_data/file/901091/DfE_Death_in_infancy_review.pdf</w:t>
        </w:r>
      </w:hyperlink>
    </w:p>
    <w:p w:rsidR="004232EC" w:rsidRDefault="004232EC" w:rsidP="004232EC">
      <w:pPr>
        <w:widowControl w:val="0"/>
        <w:jc w:val="both"/>
        <w:rPr>
          <w:rFonts w:cs="Calibri"/>
          <w14:ligatures w14:val="none"/>
        </w:rPr>
      </w:pPr>
      <w:r>
        <w:rPr>
          <w14:ligatures w14:val="none"/>
        </w:rPr>
        <w:t> </w:t>
      </w:r>
    </w:p>
    <w:p w:rsidR="004232EC" w:rsidRPr="00697306" w:rsidRDefault="004232EC" w:rsidP="004232EC">
      <w:pPr>
        <w:spacing w:after="0"/>
        <w:jc w:val="both"/>
        <w:rPr>
          <w:rFonts w:ascii="Arial" w:hAnsi="Arial" w:cs="Arial"/>
          <w:b/>
          <w:bCs/>
          <w:color w:val="2F5496" w:themeColor="accent5" w:themeShade="BF"/>
          <w:sz w:val="28"/>
          <w:szCs w:val="28"/>
          <w14:ligatures w14:val="none"/>
        </w:rPr>
      </w:pPr>
      <w:r w:rsidRPr="00697306">
        <w:rPr>
          <w:rFonts w:ascii="Arial" w:hAnsi="Arial" w:cs="Arial"/>
          <w:b/>
          <w:bCs/>
          <w:color w:val="2F5496" w:themeColor="accent5" w:themeShade="BF"/>
          <w:sz w:val="28"/>
          <w:szCs w:val="28"/>
          <w14:ligatures w14:val="none"/>
        </w:rPr>
        <w:t>North Yorkshire and York (NYY) Response</w:t>
      </w:r>
    </w:p>
    <w:p w:rsidR="004232EC" w:rsidRPr="004232EC" w:rsidRDefault="004232EC" w:rsidP="004232EC">
      <w:pPr>
        <w:pStyle w:val="ListParagraph"/>
        <w:widowControl w:val="0"/>
        <w:numPr>
          <w:ilvl w:val="0"/>
          <w:numId w:val="15"/>
        </w:numPr>
        <w:spacing w:after="0"/>
        <w:jc w:val="both"/>
        <w:rPr>
          <w:rFonts w:ascii="Arial" w:hAnsi="Arial" w:cs="Arial"/>
          <w:sz w:val="22"/>
          <w:szCs w:val="22"/>
          <w14:ligatures w14:val="none"/>
        </w:rPr>
      </w:pPr>
      <w:r w:rsidRPr="004232EC">
        <w:rPr>
          <w:rFonts w:ascii="Arial" w:hAnsi="Arial" w:cs="Arial"/>
          <w:sz w:val="22"/>
          <w:szCs w:val="22"/>
          <w14:ligatures w14:val="none"/>
        </w:rPr>
        <w:t>A SUDI Prevention Task and Finish Group has been convened by the NYY CDOP</w:t>
      </w:r>
    </w:p>
    <w:p w:rsidR="004232EC" w:rsidRPr="004232EC" w:rsidRDefault="004232EC" w:rsidP="004232EC">
      <w:pPr>
        <w:pStyle w:val="ListParagraph"/>
        <w:widowControl w:val="0"/>
        <w:numPr>
          <w:ilvl w:val="0"/>
          <w:numId w:val="15"/>
        </w:numPr>
        <w:spacing w:after="0"/>
        <w:jc w:val="both"/>
        <w:rPr>
          <w:rFonts w:ascii="Arial" w:hAnsi="Arial" w:cs="Arial"/>
          <w:sz w:val="22"/>
          <w:szCs w:val="22"/>
          <w14:ligatures w14:val="none"/>
        </w:rPr>
      </w:pPr>
      <w:r w:rsidRPr="004232EC">
        <w:rPr>
          <w:rFonts w:ascii="Arial" w:hAnsi="Arial" w:cs="Arial"/>
          <w:sz w:val="22"/>
          <w:szCs w:val="22"/>
          <w14:ligatures w14:val="none"/>
        </w:rPr>
        <w:t>An NYY Audit confirmed health providers across NYY are delivering research based safe sleep messages to all parents ante-</w:t>
      </w:r>
      <w:proofErr w:type="spellStart"/>
      <w:r w:rsidRPr="004232EC">
        <w:rPr>
          <w:rFonts w:ascii="Arial" w:hAnsi="Arial" w:cs="Arial"/>
          <w:sz w:val="22"/>
          <w:szCs w:val="22"/>
          <w14:ligatures w14:val="none"/>
        </w:rPr>
        <w:t>natally</w:t>
      </w:r>
      <w:proofErr w:type="spellEnd"/>
      <w:r w:rsidRPr="004232EC">
        <w:rPr>
          <w:rFonts w:ascii="Arial" w:hAnsi="Arial" w:cs="Arial"/>
          <w:sz w:val="22"/>
          <w:szCs w:val="22"/>
          <w14:ligatures w14:val="none"/>
        </w:rPr>
        <w:t xml:space="preserve"> and post </w:t>
      </w:r>
      <w:proofErr w:type="spellStart"/>
      <w:r w:rsidRPr="004232EC">
        <w:rPr>
          <w:rFonts w:ascii="Arial" w:hAnsi="Arial" w:cs="Arial"/>
          <w:sz w:val="22"/>
          <w:szCs w:val="22"/>
          <w14:ligatures w14:val="none"/>
        </w:rPr>
        <w:t>natally</w:t>
      </w:r>
      <w:proofErr w:type="spellEnd"/>
    </w:p>
    <w:p w:rsidR="004232EC" w:rsidRPr="004232EC" w:rsidRDefault="004232EC" w:rsidP="004232EC">
      <w:pPr>
        <w:pStyle w:val="ListParagraph"/>
        <w:widowControl w:val="0"/>
        <w:numPr>
          <w:ilvl w:val="0"/>
          <w:numId w:val="15"/>
        </w:numPr>
        <w:spacing w:after="0"/>
        <w:jc w:val="both"/>
        <w:rPr>
          <w:rFonts w:ascii="Arial" w:hAnsi="Arial" w:cs="Arial"/>
          <w:sz w:val="22"/>
          <w:szCs w:val="22"/>
          <w14:ligatures w14:val="none"/>
        </w:rPr>
      </w:pPr>
      <w:r w:rsidRPr="004232EC">
        <w:rPr>
          <w:rFonts w:ascii="Arial" w:hAnsi="Arial" w:cs="Arial"/>
          <w:sz w:val="22"/>
          <w:szCs w:val="22"/>
          <w14:ligatures w14:val="none"/>
        </w:rPr>
        <w:t xml:space="preserve">NYY acknowledged that SUDI Prevention needs to be seen in the context of the safeguarding continuum </w:t>
      </w:r>
    </w:p>
    <w:p w:rsidR="004232EC" w:rsidRPr="004232EC" w:rsidRDefault="004232EC" w:rsidP="004232EC">
      <w:pPr>
        <w:pStyle w:val="ListParagraph"/>
        <w:widowControl w:val="0"/>
        <w:numPr>
          <w:ilvl w:val="0"/>
          <w:numId w:val="15"/>
        </w:numPr>
        <w:spacing w:after="0"/>
        <w:jc w:val="both"/>
        <w:rPr>
          <w:rFonts w:ascii="Arial" w:hAnsi="Arial" w:cs="Arial"/>
          <w:sz w:val="22"/>
          <w:szCs w:val="22"/>
          <w14:ligatures w14:val="none"/>
        </w:rPr>
      </w:pPr>
      <w:r w:rsidRPr="004232EC">
        <w:rPr>
          <w:rFonts w:ascii="Arial" w:hAnsi="Arial" w:cs="Arial"/>
          <w:sz w:val="22"/>
          <w:szCs w:val="22"/>
          <w14:ligatures w14:val="none"/>
        </w:rPr>
        <w:t xml:space="preserve">NYY identified more work is required across the multiagency partnership to ensure that SUDI Prevention  messages reach the most vulnerable families </w:t>
      </w:r>
    </w:p>
    <w:p w:rsidR="004232EC" w:rsidRDefault="004232EC" w:rsidP="004232EC">
      <w:pPr>
        <w:pStyle w:val="ListParagraph"/>
        <w:widowControl w:val="0"/>
        <w:numPr>
          <w:ilvl w:val="0"/>
          <w:numId w:val="15"/>
        </w:numPr>
        <w:spacing w:after="0"/>
        <w:jc w:val="both"/>
        <w:rPr>
          <w:rFonts w:ascii="Arial" w:hAnsi="Arial" w:cs="Arial"/>
          <w:sz w:val="22"/>
          <w:szCs w:val="22"/>
          <w14:ligatures w14:val="none"/>
        </w:rPr>
      </w:pPr>
      <w:r w:rsidRPr="004232EC">
        <w:rPr>
          <w:rFonts w:ascii="Arial" w:hAnsi="Arial" w:cs="Arial"/>
          <w:sz w:val="22"/>
          <w:szCs w:val="22"/>
          <w14:ligatures w14:val="none"/>
        </w:rPr>
        <w:t>The adoption of a proposed ‘Prevent and Protect Model’ across NYY to ensure all relevant agencies/ practitioners have the necessary skills and knowledge to work with families where there is increased risk</w:t>
      </w:r>
    </w:p>
    <w:p w:rsidR="004232EC" w:rsidRDefault="004232EC" w:rsidP="004232EC">
      <w:pPr>
        <w:widowControl w:val="0"/>
        <w:spacing w:after="0"/>
        <w:ind w:left="360"/>
        <w:jc w:val="both"/>
        <w:rPr>
          <w:rFonts w:ascii="Arial" w:hAnsi="Arial" w:cs="Arial"/>
          <w:b/>
          <w:bCs/>
          <w:color w:val="0070C0"/>
          <w:sz w:val="28"/>
          <w:szCs w:val="28"/>
          <w14:ligatures w14:val="none"/>
        </w:rPr>
      </w:pPr>
    </w:p>
    <w:p w:rsidR="004232EC" w:rsidRPr="00697306" w:rsidRDefault="004232EC" w:rsidP="004232EC">
      <w:pPr>
        <w:widowControl w:val="0"/>
        <w:spacing w:after="0"/>
        <w:ind w:left="360"/>
        <w:jc w:val="both"/>
        <w:rPr>
          <w:rFonts w:ascii="Arial" w:hAnsi="Arial" w:cs="Arial"/>
          <w:b/>
          <w:bCs/>
          <w:color w:val="2F5496" w:themeColor="accent5" w:themeShade="BF"/>
          <w:sz w:val="28"/>
          <w:szCs w:val="28"/>
          <w14:ligatures w14:val="none"/>
        </w:rPr>
      </w:pPr>
      <w:r w:rsidRPr="00697306">
        <w:rPr>
          <w:rFonts w:ascii="Arial" w:hAnsi="Arial" w:cs="Arial"/>
          <w:b/>
          <w:bCs/>
          <w:color w:val="2F5496" w:themeColor="accent5" w:themeShade="BF"/>
          <w:sz w:val="28"/>
          <w:szCs w:val="28"/>
          <w14:ligatures w14:val="none"/>
        </w:rPr>
        <w:t>What can I do?</w:t>
      </w:r>
    </w:p>
    <w:p w:rsidR="004232EC" w:rsidRPr="004232EC" w:rsidRDefault="004232EC" w:rsidP="004232EC">
      <w:pPr>
        <w:pStyle w:val="ListParagraph"/>
        <w:widowControl w:val="0"/>
        <w:numPr>
          <w:ilvl w:val="0"/>
          <w:numId w:val="17"/>
        </w:numPr>
        <w:spacing w:after="0"/>
        <w:jc w:val="both"/>
        <w:rPr>
          <w:rFonts w:ascii="Arial" w:hAnsi="Arial" w:cs="Arial"/>
          <w:sz w:val="22"/>
          <w:szCs w:val="22"/>
          <w14:ligatures w14:val="none"/>
        </w:rPr>
      </w:pPr>
      <w:r w:rsidRPr="004232EC">
        <w:rPr>
          <w:rFonts w:ascii="Arial" w:hAnsi="Arial" w:cs="Arial"/>
          <w:sz w:val="22"/>
          <w:szCs w:val="22"/>
          <w14:ligatures w14:val="none"/>
        </w:rPr>
        <w:t xml:space="preserve">Reinforce key safer sleep messages with all new parents, grandparents and significant others  </w:t>
      </w:r>
    </w:p>
    <w:p w:rsidR="004232EC" w:rsidRPr="004232EC" w:rsidRDefault="004232EC" w:rsidP="004232EC">
      <w:pPr>
        <w:pStyle w:val="ListParagraph"/>
        <w:widowControl w:val="0"/>
        <w:numPr>
          <w:ilvl w:val="0"/>
          <w:numId w:val="16"/>
        </w:numPr>
        <w:spacing w:after="0"/>
        <w:jc w:val="both"/>
        <w:rPr>
          <w:rFonts w:ascii="Arial" w:hAnsi="Arial" w:cs="Arial"/>
          <w:sz w:val="22"/>
          <w:szCs w:val="22"/>
          <w14:ligatures w14:val="none"/>
        </w:rPr>
      </w:pPr>
      <w:r w:rsidRPr="004232EC">
        <w:rPr>
          <w:rFonts w:ascii="Arial" w:hAnsi="Arial" w:cs="Arial"/>
          <w:sz w:val="22"/>
          <w:szCs w:val="22"/>
          <w14:ligatures w14:val="none"/>
        </w:rPr>
        <w:t>Identify families who are  most vulnerable and explore risk issues with the family</w:t>
      </w:r>
    </w:p>
    <w:p w:rsidR="004232EC" w:rsidRPr="004232EC" w:rsidRDefault="004232EC" w:rsidP="004232EC">
      <w:pPr>
        <w:pStyle w:val="ListParagraph"/>
        <w:widowControl w:val="0"/>
        <w:numPr>
          <w:ilvl w:val="0"/>
          <w:numId w:val="16"/>
        </w:numPr>
        <w:spacing w:after="0"/>
        <w:jc w:val="both"/>
        <w:rPr>
          <w:rFonts w:ascii="Arial" w:hAnsi="Arial" w:cs="Arial"/>
          <w:sz w:val="22"/>
          <w:szCs w:val="22"/>
          <w14:ligatures w14:val="none"/>
        </w:rPr>
      </w:pPr>
      <w:r w:rsidRPr="004232EC">
        <w:rPr>
          <w:rFonts w:ascii="Arial" w:hAnsi="Arial" w:cs="Arial"/>
          <w:sz w:val="22"/>
          <w:szCs w:val="22"/>
          <w14:ligatures w14:val="none"/>
        </w:rPr>
        <w:t>Consider does this family need additional support and /or is this a safeguarding concern?</w:t>
      </w:r>
    </w:p>
    <w:p w:rsidR="004232EC" w:rsidRPr="004232EC" w:rsidRDefault="004232EC" w:rsidP="004232EC">
      <w:pPr>
        <w:pStyle w:val="ListParagraph"/>
        <w:widowControl w:val="0"/>
        <w:numPr>
          <w:ilvl w:val="0"/>
          <w:numId w:val="16"/>
        </w:numPr>
        <w:spacing w:after="160"/>
        <w:jc w:val="both"/>
        <w:rPr>
          <w:rFonts w:ascii="Arial" w:hAnsi="Arial" w:cs="Arial"/>
          <w:sz w:val="22"/>
          <w:szCs w:val="22"/>
          <w14:ligatures w14:val="none"/>
        </w:rPr>
      </w:pPr>
      <w:r w:rsidRPr="004232EC">
        <w:rPr>
          <w:rFonts w:ascii="Arial" w:hAnsi="Arial" w:cs="Arial"/>
          <w:sz w:val="22"/>
          <w:szCs w:val="22"/>
          <w14:ligatures w14:val="none"/>
        </w:rPr>
        <w:t>As the ‘Prevent and Protect Model’ is developed access resources and engage to embed this model in to practice</w:t>
      </w:r>
    </w:p>
    <w:p w:rsidR="004232EC" w:rsidRPr="00697306" w:rsidRDefault="004232EC" w:rsidP="004232EC">
      <w:pPr>
        <w:widowControl w:val="0"/>
        <w:ind w:left="360"/>
        <w:jc w:val="both"/>
        <w:rPr>
          <w:rFonts w:ascii="Arial" w:hAnsi="Arial" w:cs="Arial"/>
          <w:b/>
          <w:bCs/>
          <w:color w:val="2F5496" w:themeColor="accent5" w:themeShade="BF"/>
          <w:sz w:val="28"/>
          <w:szCs w:val="28"/>
          <w14:ligatures w14:val="none"/>
        </w:rPr>
      </w:pPr>
      <w:r w:rsidRPr="00697306">
        <w:rPr>
          <w:rFonts w:ascii="Arial" w:hAnsi="Arial" w:cs="Arial"/>
          <w:b/>
          <w:bCs/>
          <w:color w:val="2F5496" w:themeColor="accent5" w:themeShade="BF"/>
          <w:sz w:val="28"/>
          <w:szCs w:val="28"/>
          <w14:ligatures w14:val="none"/>
        </w:rPr>
        <w:t>Additional resources</w:t>
      </w:r>
    </w:p>
    <w:p w:rsidR="00D14A70" w:rsidRPr="00D14A70" w:rsidRDefault="004232EC" w:rsidP="00D14A70">
      <w:pPr>
        <w:pStyle w:val="ListParagraph"/>
        <w:widowControl w:val="0"/>
        <w:numPr>
          <w:ilvl w:val="0"/>
          <w:numId w:val="18"/>
        </w:numPr>
        <w:jc w:val="both"/>
        <w:rPr>
          <w:rStyle w:val="Hyperlink"/>
          <w:sz w:val="22"/>
          <w:szCs w:val="22"/>
        </w:rPr>
      </w:pPr>
      <w:r w:rsidRPr="004232EC">
        <w:rPr>
          <w:rFonts w:ascii="Arial" w:hAnsi="Arial" w:cs="Arial"/>
          <w:sz w:val="22"/>
          <w:szCs w:val="22"/>
          <w14:ligatures w14:val="none"/>
        </w:rPr>
        <w:t xml:space="preserve">The Lullaby Trust raises awareness of sudden infant death syndrome (SIDS), provides expert advice on safer sleep for babies and offers emotional support for bereaved families </w:t>
      </w:r>
      <w:hyperlink r:id="rId18" w:history="1">
        <w:r w:rsidRPr="004232EC">
          <w:rPr>
            <w:rStyle w:val="Hyperlink"/>
            <w:rFonts w:ascii="Arial" w:hAnsi="Arial" w:cs="Arial"/>
            <w:sz w:val="22"/>
            <w:szCs w:val="22"/>
            <w14:ligatures w14:val="none"/>
          </w:rPr>
          <w:t>www.LullabyTrust.co.uk</w:t>
        </w:r>
      </w:hyperlink>
      <w:hyperlink r:id="rId19" w:history="1">
        <w:r w:rsidRPr="004232EC">
          <w:rPr>
            <w:rStyle w:val="Hyperlink"/>
            <w:rFonts w:ascii="Arial" w:hAnsi="Arial" w:cs="Arial"/>
            <w:sz w:val="22"/>
            <w:szCs w:val="22"/>
            <w14:ligatures w14:val="none"/>
          </w:rPr>
          <w:t xml:space="preserve"> </w:t>
        </w:r>
      </w:hyperlink>
    </w:p>
    <w:p w:rsidR="004232EC" w:rsidRPr="004232EC" w:rsidRDefault="00A70718" w:rsidP="004232EC">
      <w:pPr>
        <w:pStyle w:val="ListParagraph"/>
        <w:widowControl w:val="0"/>
        <w:numPr>
          <w:ilvl w:val="0"/>
          <w:numId w:val="18"/>
        </w:numPr>
        <w:jc w:val="both"/>
        <w:rPr>
          <w:rFonts w:cs="Calibri"/>
        </w:rPr>
      </w:pPr>
      <w:hyperlink r:id="rId20" w:history="1">
        <w:r w:rsidR="004232EC" w:rsidRPr="004232EC">
          <w:rPr>
            <w:rStyle w:val="Hyperlink"/>
            <w:rFonts w:ascii="Arial" w:hAnsi="Arial" w:cs="Arial"/>
            <w:color w:val="000000"/>
            <w:sz w:val="22"/>
            <w:szCs w:val="22"/>
            <w:u w:val="none"/>
            <w14:ligatures w14:val="none"/>
          </w:rPr>
          <w:t xml:space="preserve">Babies Cry, You Can Cope (ICON) </w:t>
        </w:r>
        <w:r w:rsidR="004232EC" w:rsidRPr="004232EC">
          <w:rPr>
            <w:rStyle w:val="Hyperlink"/>
            <w:rFonts w:ascii="Arial" w:hAnsi="Arial" w:cs="Arial"/>
            <w:color w:val="000000"/>
            <w:sz w:val="22"/>
            <w:szCs w:val="22"/>
            <w:u w:val="none"/>
            <w14:ligatures w14:val="none"/>
          </w:rPr>
          <w:t>programme supports parents and carers manage normal infant crying and to prevent abusive head trauma injuries to babies caused by shaking, also referred to as ‘shaken baby syndrome’</w:t>
        </w:r>
        <w:r w:rsidR="004232EC" w:rsidRPr="004232EC">
          <w:rPr>
            <w:rStyle w:val="Hyperlink"/>
            <w:rFonts w:ascii="Arial" w:hAnsi="Arial" w:cs="Arial"/>
            <w:sz w:val="22"/>
            <w:szCs w:val="22"/>
            <w14:ligatures w14:val="none"/>
          </w:rPr>
          <w:t xml:space="preserve"> ICON Infant Crying and how to Cope</w:t>
        </w:r>
      </w:hyperlink>
    </w:p>
    <w:p w:rsidR="004232EC" w:rsidRPr="004232EC" w:rsidRDefault="004232EC" w:rsidP="004232EC">
      <w:pPr>
        <w:pStyle w:val="ListParagraph"/>
        <w:widowControl w:val="0"/>
        <w:numPr>
          <w:ilvl w:val="0"/>
          <w:numId w:val="18"/>
        </w:numPr>
        <w:jc w:val="both"/>
        <w:rPr>
          <w:rFonts w:ascii="Arial" w:hAnsi="Arial" w:cs="Arial"/>
          <w:sz w:val="22"/>
        </w:rPr>
      </w:pPr>
      <w:r w:rsidRPr="004232EC">
        <w:rPr>
          <w:rFonts w:ascii="Arial" w:hAnsi="Arial" w:cs="Arial"/>
          <w:sz w:val="22"/>
        </w:rPr>
        <w:t xml:space="preserve">Multi-Agency Practice Guidance </w:t>
      </w:r>
      <w:hyperlink r:id="rId21" w:history="1">
        <w:r w:rsidRPr="004232EC">
          <w:rPr>
            <w:rStyle w:val="Hyperlink"/>
            <w:rFonts w:ascii="Arial" w:hAnsi="Arial" w:cs="Arial"/>
            <w:sz w:val="22"/>
          </w:rPr>
          <w:t>Pre B</w:t>
        </w:r>
        <w:bookmarkStart w:id="0" w:name="_GoBack"/>
        <w:bookmarkEnd w:id="0"/>
        <w:r w:rsidRPr="004232EC">
          <w:rPr>
            <w:rStyle w:val="Hyperlink"/>
            <w:rFonts w:ascii="Arial" w:hAnsi="Arial" w:cs="Arial"/>
            <w:sz w:val="22"/>
          </w:rPr>
          <w:t>irth Assessment Tool</w:t>
        </w:r>
      </w:hyperlink>
      <w:r w:rsidRPr="004232EC">
        <w:rPr>
          <w:rFonts w:ascii="Arial" w:hAnsi="Arial" w:cs="Arial"/>
          <w:sz w:val="22"/>
        </w:rPr>
        <w:t xml:space="preserve"> </w:t>
      </w:r>
    </w:p>
    <w:p w:rsidR="004232EC" w:rsidRPr="004232EC" w:rsidRDefault="004232EC" w:rsidP="004232EC">
      <w:pPr>
        <w:pStyle w:val="ListParagraph"/>
        <w:widowControl w:val="0"/>
        <w:jc w:val="both"/>
        <w:rPr>
          <w:rFonts w:cs="Calibri"/>
        </w:rPr>
      </w:pPr>
    </w:p>
    <w:p w:rsidR="004232EC" w:rsidRPr="004232EC" w:rsidRDefault="004232EC" w:rsidP="004232EC">
      <w:pPr>
        <w:widowControl w:val="0"/>
        <w:spacing w:after="0"/>
        <w:rPr>
          <w:rFonts w:ascii="Arial" w:hAnsi="Arial" w:cs="Arial"/>
          <w:sz w:val="22"/>
          <w:szCs w:val="22"/>
          <w14:ligatures w14:val="none"/>
        </w:rPr>
      </w:pPr>
    </w:p>
    <w:p w:rsidR="004232EC" w:rsidRDefault="004232EC" w:rsidP="004232EC">
      <w:pPr>
        <w:widowControl w:val="0"/>
        <w:ind w:firstLine="45"/>
        <w:rPr>
          <w:rFonts w:cs="Calibri"/>
          <w14:ligatures w14:val="none"/>
        </w:rPr>
      </w:pPr>
    </w:p>
    <w:p w:rsidR="004232EC" w:rsidRPr="004232EC" w:rsidRDefault="004232EC" w:rsidP="004232EC">
      <w:pPr>
        <w:spacing w:after="0"/>
        <w:jc w:val="both"/>
        <w:rPr>
          <w:rFonts w:ascii="Arial" w:hAnsi="Arial" w:cs="Arial"/>
          <w:sz w:val="22"/>
          <w:szCs w:val="22"/>
          <w14:ligatures w14:val="none"/>
        </w:rPr>
      </w:pPr>
    </w:p>
    <w:p w:rsidR="004232EC" w:rsidRPr="004232EC" w:rsidRDefault="004232EC" w:rsidP="004232EC">
      <w:pPr>
        <w:widowControl w:val="0"/>
        <w:spacing w:after="0"/>
        <w:jc w:val="both"/>
        <w:rPr>
          <w:rFonts w:ascii="Arial" w:hAnsi="Arial" w:cs="Arial"/>
          <w:sz w:val="22"/>
          <w:szCs w:val="22"/>
          <w14:ligatures w14:val="none"/>
        </w:rPr>
      </w:pPr>
    </w:p>
    <w:p w:rsidR="004232EC" w:rsidRDefault="004232EC" w:rsidP="004232EC">
      <w:pPr>
        <w:widowControl w:val="0"/>
        <w:spacing w:after="0"/>
        <w:ind w:left="720" w:hanging="360"/>
        <w:jc w:val="both"/>
        <w:rPr>
          <w:rFonts w:ascii="Arial" w:hAnsi="Arial" w:cs="Arial"/>
          <w:sz w:val="22"/>
          <w:szCs w:val="22"/>
          <w14:ligatures w14:val="none"/>
        </w:rPr>
      </w:pPr>
      <w:r>
        <w:rPr>
          <w:rFonts w:ascii="Arial" w:hAnsi="Arial" w:cs="Arial"/>
          <w:sz w:val="22"/>
          <w:szCs w:val="22"/>
          <w14:ligatures w14:val="none"/>
        </w:rPr>
        <w:t> </w:t>
      </w:r>
    </w:p>
    <w:p w:rsidR="004232EC" w:rsidRDefault="004232EC" w:rsidP="004232EC">
      <w:pPr>
        <w:widowControl w:val="0"/>
        <w:rPr>
          <w:rFonts w:cs="Calibri"/>
          <w14:ligatures w14:val="none"/>
        </w:rPr>
      </w:pPr>
      <w:r>
        <w:rPr>
          <w14:ligatures w14:val="none"/>
        </w:rPr>
        <w:t> </w:t>
      </w:r>
    </w:p>
    <w:p w:rsidR="009B495A" w:rsidRPr="009B495A" w:rsidRDefault="009B495A" w:rsidP="00847B43">
      <w:pPr>
        <w:widowControl w:val="0"/>
        <w:ind w:left="283" w:hanging="283"/>
        <w:jc w:val="both"/>
        <w:rPr>
          <w:rFonts w:cs="Calibri"/>
          <w14:ligatures w14:val="none"/>
        </w:rPr>
      </w:pPr>
    </w:p>
    <w:sectPr w:rsidR="009B495A" w:rsidRPr="009B495A" w:rsidSect="004232EC">
      <w:type w:val="continuous"/>
      <w:pgSz w:w="11906" w:h="16838"/>
      <w:pgMar w:top="567" w:right="567" w:bottom="567" w:left="567" w:header="709" w:footer="709" w:gutter="0"/>
      <w:cols w:num="2"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18" w:rsidRDefault="00A70718" w:rsidP="001400DB">
      <w:pPr>
        <w:spacing w:after="0" w:line="240" w:lineRule="auto"/>
      </w:pPr>
      <w:r>
        <w:separator/>
      </w:r>
    </w:p>
  </w:endnote>
  <w:endnote w:type="continuationSeparator" w:id="0">
    <w:p w:rsidR="00A70718" w:rsidRDefault="00A70718"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6" w:rsidRDefault="00545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06" w:rsidRDefault="00697306">
    <w:pPr>
      <w:pStyle w:val="Footer"/>
    </w:pPr>
    <w:r>
      <w:rPr>
        <w:noProof/>
        <w14:ligatures w14:val="none"/>
        <w14:cntxtAlts w14:val="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5" name="MSIPCM1bcb4bf98fd1e99d44a66398"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97306" w:rsidRPr="00697306" w:rsidRDefault="00697306" w:rsidP="00697306">
                          <w:pPr>
                            <w:spacing w:after="0"/>
                            <w:jc w:val="center"/>
                            <w:rPr>
                              <w:rFonts w:cs="Calibri"/>
                              <w:color w:val="FF0000"/>
                            </w:rPr>
                          </w:pPr>
                          <w:r w:rsidRPr="00697306">
                            <w:rPr>
                              <w:rFonts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bcb4bf98fd1e99d44a66398" o:spid="_x0000_s1028"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H193qk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697306" w:rsidRPr="00697306" w:rsidRDefault="00697306" w:rsidP="00697306">
                    <w:pPr>
                      <w:spacing w:after="0"/>
                      <w:jc w:val="center"/>
                      <w:rPr>
                        <w:rFonts w:cs="Calibri"/>
                        <w:color w:val="FF0000"/>
                      </w:rPr>
                    </w:pPr>
                    <w:r w:rsidRPr="00697306">
                      <w:rPr>
                        <w:rFonts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6" w:rsidRDefault="00545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18" w:rsidRDefault="00A70718" w:rsidP="001400DB">
      <w:pPr>
        <w:spacing w:after="0" w:line="240" w:lineRule="auto"/>
      </w:pPr>
      <w:r>
        <w:separator/>
      </w:r>
    </w:p>
  </w:footnote>
  <w:footnote w:type="continuationSeparator" w:id="0">
    <w:p w:rsidR="00A70718" w:rsidRDefault="00A70718" w:rsidP="0014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6" w:rsidRDefault="00545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6" w:rsidRDefault="00545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6" w:rsidRDefault="0054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76834B1"/>
    <w:multiLevelType w:val="hybridMultilevel"/>
    <w:tmpl w:val="4A68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86CCF"/>
    <w:multiLevelType w:val="hybridMultilevel"/>
    <w:tmpl w:val="0732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245F4B"/>
    <w:multiLevelType w:val="hybridMultilevel"/>
    <w:tmpl w:val="3F7E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453B45"/>
    <w:multiLevelType w:val="hybridMultilevel"/>
    <w:tmpl w:val="EB56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D8569A"/>
    <w:multiLevelType w:val="hybridMultilevel"/>
    <w:tmpl w:val="3A7E69BC"/>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03DDA"/>
    <w:multiLevelType w:val="hybridMultilevel"/>
    <w:tmpl w:val="4094DF8E"/>
    <w:lvl w:ilvl="0" w:tplc="07164F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E51CAB"/>
    <w:multiLevelType w:val="hybridMultilevel"/>
    <w:tmpl w:val="228E0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94653"/>
    <w:multiLevelType w:val="hybridMultilevel"/>
    <w:tmpl w:val="5906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9"/>
  </w:num>
  <w:num w:numId="7">
    <w:abstractNumId w:val="12"/>
  </w:num>
  <w:num w:numId="8">
    <w:abstractNumId w:val="11"/>
  </w:num>
  <w:num w:numId="9">
    <w:abstractNumId w:val="15"/>
  </w:num>
  <w:num w:numId="10">
    <w:abstractNumId w:val="3"/>
  </w:num>
  <w:num w:numId="11">
    <w:abstractNumId w:val="17"/>
  </w:num>
  <w:num w:numId="12">
    <w:abstractNumId w:val="13"/>
  </w:num>
  <w:num w:numId="13">
    <w:abstractNumId w:val="2"/>
  </w:num>
  <w:num w:numId="14">
    <w:abstractNumId w:val="5"/>
  </w:num>
  <w:num w:numId="15">
    <w:abstractNumId w:val="8"/>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SxrrqBNoibz0hDAC6/5gu6uIDkfAm1Oo4irKRqvhFYbYwuswuEAl6DLjfYZYytSwd+rIjhGelJpZlO+iOJ2CRA==" w:salt="FVwKLs24nwqgXcVcweW4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1156DF"/>
    <w:rsid w:val="001400DB"/>
    <w:rsid w:val="001A72A1"/>
    <w:rsid w:val="001B3865"/>
    <w:rsid w:val="002E23FD"/>
    <w:rsid w:val="003C46E7"/>
    <w:rsid w:val="004232EC"/>
    <w:rsid w:val="00446A83"/>
    <w:rsid w:val="00492167"/>
    <w:rsid w:val="004F1B06"/>
    <w:rsid w:val="00545AB6"/>
    <w:rsid w:val="005E0E74"/>
    <w:rsid w:val="00627D14"/>
    <w:rsid w:val="00644D67"/>
    <w:rsid w:val="00694922"/>
    <w:rsid w:val="00697306"/>
    <w:rsid w:val="006A4173"/>
    <w:rsid w:val="007B0C4A"/>
    <w:rsid w:val="00847B43"/>
    <w:rsid w:val="008E67DB"/>
    <w:rsid w:val="009164ED"/>
    <w:rsid w:val="009B495A"/>
    <w:rsid w:val="009F031D"/>
    <w:rsid w:val="00A04BC4"/>
    <w:rsid w:val="00A70718"/>
    <w:rsid w:val="00AB2AE7"/>
    <w:rsid w:val="00AE696B"/>
    <w:rsid w:val="00AF5898"/>
    <w:rsid w:val="00BB37C2"/>
    <w:rsid w:val="00C61626"/>
    <w:rsid w:val="00C71343"/>
    <w:rsid w:val="00C8100F"/>
    <w:rsid w:val="00CA13B3"/>
    <w:rsid w:val="00D14A70"/>
    <w:rsid w:val="00D67C2D"/>
    <w:rsid w:val="00D863CD"/>
    <w:rsid w:val="00D91A61"/>
    <w:rsid w:val="00DD3CB5"/>
    <w:rsid w:val="00E007FC"/>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4101">
      <w:bodyDiv w:val="1"/>
      <w:marLeft w:val="0"/>
      <w:marRight w:val="0"/>
      <w:marTop w:val="0"/>
      <w:marBottom w:val="0"/>
      <w:divBdr>
        <w:top w:val="none" w:sz="0" w:space="0" w:color="auto"/>
        <w:left w:val="none" w:sz="0" w:space="0" w:color="auto"/>
        <w:bottom w:val="none" w:sz="0" w:space="0" w:color="auto"/>
        <w:right w:val="none" w:sz="0" w:space="0" w:color="auto"/>
      </w:divBdr>
    </w:div>
    <w:div w:id="928737935">
      <w:bodyDiv w:val="1"/>
      <w:marLeft w:val="0"/>
      <w:marRight w:val="0"/>
      <w:marTop w:val="0"/>
      <w:marBottom w:val="0"/>
      <w:divBdr>
        <w:top w:val="none" w:sz="0" w:space="0" w:color="auto"/>
        <w:left w:val="none" w:sz="0" w:space="0" w:color="auto"/>
        <w:bottom w:val="none" w:sz="0" w:space="0" w:color="auto"/>
        <w:right w:val="none" w:sz="0" w:space="0" w:color="auto"/>
      </w:divBdr>
    </w:div>
    <w:div w:id="1215778623">
      <w:bodyDiv w:val="1"/>
      <w:marLeft w:val="0"/>
      <w:marRight w:val="0"/>
      <w:marTop w:val="0"/>
      <w:marBottom w:val="0"/>
      <w:divBdr>
        <w:top w:val="none" w:sz="0" w:space="0" w:color="auto"/>
        <w:left w:val="none" w:sz="0" w:space="0" w:color="auto"/>
        <w:bottom w:val="none" w:sz="0" w:space="0" w:color="auto"/>
        <w:right w:val="none" w:sz="0" w:space="0" w:color="auto"/>
      </w:divBdr>
      <w:divsChild>
        <w:div w:id="875896993">
          <w:marLeft w:val="360"/>
          <w:marRight w:val="0"/>
          <w:marTop w:val="200"/>
          <w:marBottom w:val="0"/>
          <w:divBdr>
            <w:top w:val="none" w:sz="0" w:space="0" w:color="auto"/>
            <w:left w:val="none" w:sz="0" w:space="0" w:color="auto"/>
            <w:bottom w:val="none" w:sz="0" w:space="0" w:color="auto"/>
            <w:right w:val="none" w:sz="0" w:space="0" w:color="auto"/>
          </w:divBdr>
        </w:div>
      </w:divsChild>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36763315">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1998266399">
      <w:bodyDiv w:val="1"/>
      <w:marLeft w:val="0"/>
      <w:marRight w:val="0"/>
      <w:marTop w:val="0"/>
      <w:marBottom w:val="0"/>
      <w:divBdr>
        <w:top w:val="none" w:sz="0" w:space="0" w:color="auto"/>
        <w:left w:val="none" w:sz="0" w:space="0" w:color="auto"/>
        <w:bottom w:val="none" w:sz="0" w:space="0" w:color="auto"/>
        <w:right w:val="none" w:sz="0" w:space="0" w:color="auto"/>
      </w:divBdr>
    </w:div>
    <w:div w:id="20141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LullabyTrust.co.uk" TargetMode="External"/><Relationship Id="rId3" Type="http://schemas.openxmlformats.org/officeDocument/2006/relationships/styles" Target="styles.xml"/><Relationship Id="rId21" Type="http://schemas.openxmlformats.org/officeDocument/2006/relationships/hyperlink" Target="https://www.safeguardingchildren.co.uk/Resources/practice-guidance-pre-birth-assessmen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ssets.publishing.service.gov.uk/government/uploads/system/uploads/attachment_data/file/901091/DfE_Death_in_infancy_review.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afeguardingchildren.co.uk/wp-content/uploads/2019/11/CS49907-NYY-ICON-LEAFLET-v3-PRI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afeguardingchildren.co.uk/wp-content/uploads/2019/11/CS49907-NYY-ICON-LEAFLET-v3-PRIN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9E6E-A9DD-4C46-85FF-479ABCF4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3</cp:revision>
  <dcterms:created xsi:type="dcterms:W3CDTF">2021-05-24T14:44:00Z</dcterms:created>
  <dcterms:modified xsi:type="dcterms:W3CDTF">2021-05-24T14:45:00Z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2021-04-27T15:10:03Z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15ad8275-b92d-4e3a-bf68-000092a18ced</vt:lpwstr>
  </property>
  <property fmtid="{D5CDD505-2E9C-101B-9397-08002B2CF9AE}" pid="8" name="MSIP_Label_3ecdfc32-7be5-4b17-9f97-00453388bdd7_ContentBits">
    <vt:lpwstr>2</vt:lpwstr>
  </property>
</Properties>
</file>