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2ACA" w14:textId="77777777" w:rsidR="00C61626" w:rsidRDefault="00FD08F5" w:rsidP="00EB50AE">
      <w:pPr>
        <w:spacing w:after="0"/>
        <w:jc w:val="both"/>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0F26359A" wp14:editId="47E31216">
            <wp:simplePos x="0" y="0"/>
            <wp:positionH relativeFrom="margin">
              <wp:posOffset>165281</wp:posOffset>
            </wp:positionH>
            <wp:positionV relativeFrom="paragraph">
              <wp:posOffset>-208679</wp:posOffset>
            </wp:positionV>
            <wp:extent cx="2928867" cy="63042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867" cy="63042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14:anchorId="6D39B839" wp14:editId="5A5D4191">
                <wp:simplePos x="0" y="0"/>
                <wp:positionH relativeFrom="column">
                  <wp:posOffset>3148699</wp:posOffset>
                </wp:positionH>
                <wp:positionV relativeFrom="paragraph">
                  <wp:posOffset>-424401</wp:posOffset>
                </wp:positionV>
                <wp:extent cx="3691890" cy="1065782"/>
                <wp:effectExtent l="0" t="0" r="22860" b="20320"/>
                <wp:wrapNone/>
                <wp:docPr id="4" name="Text Box 4"/>
                <wp:cNvGraphicFramePr/>
                <a:graphic xmlns:a="http://schemas.openxmlformats.org/drawingml/2006/main">
                  <a:graphicData uri="http://schemas.microsoft.com/office/word/2010/wordprocessingShape">
                    <wps:wsp>
                      <wps:cNvSpPr txBox="1"/>
                      <wps:spPr>
                        <a:xfrm>
                          <a:off x="0" y="0"/>
                          <a:ext cx="3691890" cy="1065782"/>
                        </a:xfrm>
                        <a:prstGeom prst="rect">
                          <a:avLst/>
                        </a:prstGeom>
                        <a:solidFill>
                          <a:schemeClr val="lt1"/>
                        </a:solidFill>
                        <a:ln w="6350">
                          <a:solidFill>
                            <a:schemeClr val="bg1"/>
                          </a:solidFill>
                        </a:ln>
                      </wps:spPr>
                      <wps:txbx>
                        <w:txbxContent>
                          <w:p w14:paraId="2A433A51" w14:textId="77777777" w:rsidR="00D863CD" w:rsidRPr="00FD08F5" w:rsidRDefault="00D863CD" w:rsidP="00D863CD">
                            <w:pPr>
                              <w:spacing w:after="0" w:line="240" w:lineRule="auto"/>
                              <w:jc w:val="center"/>
                              <w:rPr>
                                <w:sz w:val="4"/>
                                <w:szCs w:val="48"/>
                              </w:rPr>
                            </w:pPr>
                          </w:p>
                          <w:p w14:paraId="70210B5E" w14:textId="77777777" w:rsidR="00FD08F5" w:rsidRPr="00FD08F5" w:rsidRDefault="00EB50AE" w:rsidP="00FD08F5">
                            <w:pPr>
                              <w:spacing w:after="0" w:line="240" w:lineRule="auto"/>
                              <w:jc w:val="center"/>
                              <w:rPr>
                                <w:rFonts w:cs="Arial"/>
                                <w:b/>
                                <w:color w:val="2F5496" w:themeColor="accent5" w:themeShade="BF"/>
                                <w:sz w:val="40"/>
                              </w:rPr>
                            </w:pPr>
                            <w:r w:rsidRPr="00FD08F5">
                              <w:rPr>
                                <w:rFonts w:cs="Arial"/>
                                <w:b/>
                                <w:color w:val="2F5496" w:themeColor="accent5" w:themeShade="BF"/>
                                <w:sz w:val="40"/>
                              </w:rPr>
                              <w:t>Saf</w:t>
                            </w:r>
                            <w:r w:rsidR="009573D4" w:rsidRPr="00FD08F5">
                              <w:rPr>
                                <w:rFonts w:cs="Arial"/>
                                <w:b/>
                                <w:color w:val="2F5496" w:themeColor="accent5" w:themeShade="BF"/>
                                <w:sz w:val="40"/>
                              </w:rPr>
                              <w:t xml:space="preserve">eguarding Practice Review Group </w:t>
                            </w:r>
                            <w:r w:rsidRPr="00FD08F5">
                              <w:rPr>
                                <w:rFonts w:cs="Arial"/>
                                <w:b/>
                                <w:color w:val="2F5496" w:themeColor="accent5" w:themeShade="BF"/>
                                <w:sz w:val="40"/>
                              </w:rPr>
                              <w:t>(SPRG)</w:t>
                            </w:r>
                          </w:p>
                          <w:p w14:paraId="3EBDFC1A" w14:textId="77777777" w:rsidR="009573D4" w:rsidRPr="00FD08F5" w:rsidRDefault="009573D4" w:rsidP="00FD08F5">
                            <w:pPr>
                              <w:spacing w:after="0" w:line="240" w:lineRule="auto"/>
                              <w:jc w:val="center"/>
                              <w:rPr>
                                <w:rFonts w:cs="Arial"/>
                                <w:b/>
                                <w:color w:val="2F5496" w:themeColor="accent5" w:themeShade="BF"/>
                                <w:sz w:val="40"/>
                              </w:rPr>
                            </w:pPr>
                            <w:r w:rsidRPr="00FD08F5">
                              <w:rPr>
                                <w:b/>
                                <w:color w:val="FF6600"/>
                                <w:sz w:val="24"/>
                                <w:szCs w:val="48"/>
                              </w:rPr>
                              <w:t>June 2021</w:t>
                            </w:r>
                          </w:p>
                          <w:p w14:paraId="197D3B1A" w14:textId="77777777" w:rsidR="00EB50AE" w:rsidRPr="009573D4" w:rsidRDefault="00EB50AE" w:rsidP="009573D4">
                            <w:pPr>
                              <w:jc w:val="center"/>
                              <w:rPr>
                                <w:rFonts w:cs="Arial"/>
                                <w:color w:val="2F5496" w:themeColor="accent5" w:themeShade="BF"/>
                                <w:sz w:val="32"/>
                              </w:rPr>
                            </w:pPr>
                          </w:p>
                          <w:p w14:paraId="74511D1F" w14:textId="77777777"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(April 2020)</w:t>
                            </w:r>
                            <w:r w:rsidRPr="003C46E7">
                              <w:rPr>
                                <w:b/>
                                <w:color w:val="0070C0"/>
                                <w:sz w:val="2"/>
                                <w:szCs w:val="48"/>
                              </w:rPr>
                              <w:t xml:space="preserve"> </w:t>
                            </w:r>
                          </w:p>
                          <w:p w14:paraId="66D735CE" w14:textId="77777777"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B839" id="_x0000_t202" coordsize="21600,21600" o:spt="202" path="m,l,21600r21600,l21600,xe">
                <v:stroke joinstyle="miter"/>
                <v:path gradientshapeok="t" o:connecttype="rect"/>
              </v:shapetype>
              <v:shape id="Text Box 4" o:spid="_x0000_s1026" type="#_x0000_t202" style="position:absolute;left:0;text-align:left;margin-left:247.95pt;margin-top:-33.4pt;width:290.7pt;height:8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" fillcolor="white [3201]" strokecolor="white [3212]" strokeweight=".5pt">
                <v:textbox>
                  <w:txbxContent>
                    <w:p w14:paraId="2A433A51" w14:textId="77777777" w:rsidR="00D863CD" w:rsidRPr="00FD08F5" w:rsidRDefault="00D863CD" w:rsidP="00D863CD">
                      <w:pPr>
                        <w:spacing w:after="0" w:line="240" w:lineRule="auto"/>
                        <w:jc w:val="center"/>
                        <w:rPr>
                          <w:sz w:val="4"/>
                          <w:szCs w:val="48"/>
                        </w:rPr>
                      </w:pPr>
                    </w:p>
                    <w:p w14:paraId="70210B5E" w14:textId="77777777" w:rsidR="00FD08F5" w:rsidRPr="00FD08F5" w:rsidRDefault="00EB50AE" w:rsidP="00FD08F5">
                      <w:pPr>
                        <w:spacing w:after="0" w:line="240" w:lineRule="auto"/>
                        <w:jc w:val="center"/>
                        <w:rPr>
                          <w:rFonts w:cs="Arial"/>
                          <w:b/>
                          <w:color w:val="2F5496" w:themeColor="accent5" w:themeShade="BF"/>
                          <w:sz w:val="40"/>
                        </w:rPr>
                      </w:pPr>
                      <w:r w:rsidRPr="00FD08F5">
                        <w:rPr>
                          <w:rFonts w:cs="Arial"/>
                          <w:b/>
                          <w:color w:val="2F5496" w:themeColor="accent5" w:themeShade="BF"/>
                          <w:sz w:val="40"/>
                        </w:rPr>
                        <w:t>Saf</w:t>
                      </w:r>
                      <w:r w:rsidR="009573D4" w:rsidRPr="00FD08F5">
                        <w:rPr>
                          <w:rFonts w:cs="Arial"/>
                          <w:b/>
                          <w:color w:val="2F5496" w:themeColor="accent5" w:themeShade="BF"/>
                          <w:sz w:val="40"/>
                        </w:rPr>
                        <w:t xml:space="preserve">eguarding Practice Review Group </w:t>
                      </w:r>
                      <w:r w:rsidRPr="00FD08F5">
                        <w:rPr>
                          <w:rFonts w:cs="Arial"/>
                          <w:b/>
                          <w:color w:val="2F5496" w:themeColor="accent5" w:themeShade="BF"/>
                          <w:sz w:val="40"/>
                        </w:rPr>
                        <w:t>(SPRG)</w:t>
                      </w:r>
                    </w:p>
                    <w:p w14:paraId="3EBDFC1A" w14:textId="77777777" w:rsidR="009573D4" w:rsidRPr="00FD08F5" w:rsidRDefault="009573D4" w:rsidP="00FD08F5">
                      <w:pPr>
                        <w:spacing w:after="0" w:line="240" w:lineRule="auto"/>
                        <w:jc w:val="center"/>
                        <w:rPr>
                          <w:rFonts w:cs="Arial"/>
                          <w:b/>
                          <w:color w:val="2F5496" w:themeColor="accent5" w:themeShade="BF"/>
                          <w:sz w:val="40"/>
                        </w:rPr>
                      </w:pPr>
                      <w:r w:rsidRPr="00FD08F5">
                        <w:rPr>
                          <w:b/>
                          <w:color w:val="FF6600"/>
                          <w:sz w:val="24"/>
                          <w:szCs w:val="48"/>
                        </w:rPr>
                        <w:t>June 2021</w:t>
                      </w:r>
                    </w:p>
                    <w:p w14:paraId="197D3B1A" w14:textId="77777777" w:rsidR="00EB50AE" w:rsidRPr="009573D4" w:rsidRDefault="00EB50AE" w:rsidP="009573D4">
                      <w:pPr>
                        <w:jc w:val="center"/>
                        <w:rPr>
                          <w:rFonts w:cs="Arial"/>
                          <w:color w:val="2F5496" w:themeColor="accent5" w:themeShade="BF"/>
                          <w:sz w:val="32"/>
                        </w:rPr>
                      </w:pPr>
                    </w:p>
                    <w:p w14:paraId="74511D1F" w14:textId="77777777"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(April 2020)</w:t>
                      </w:r>
                      <w:r w:rsidRPr="003C46E7">
                        <w:rPr>
                          <w:b/>
                          <w:color w:val="0070C0"/>
                          <w:sz w:val="2"/>
                          <w:szCs w:val="48"/>
                        </w:rPr>
                        <w:t xml:space="preserve"> </w:t>
                      </w:r>
                    </w:p>
                    <w:p w14:paraId="66D735CE" w14:textId="77777777" w:rsidR="00D67C2D" w:rsidRPr="003C46E7" w:rsidRDefault="00D67C2D" w:rsidP="00D863CD">
                      <w:pPr>
                        <w:spacing w:after="0" w:line="240" w:lineRule="auto"/>
                        <w:jc w:val="center"/>
                        <w:rPr>
                          <w:b/>
                          <w:color w:val="0070C0"/>
                          <w:sz w:val="2"/>
                          <w:szCs w:val="48"/>
                        </w:rPr>
                      </w:pPr>
                    </w:p>
                  </w:txbxContent>
                </v:textbox>
              </v:shape>
            </w:pict>
          </mc:Fallback>
        </mc:AlternateContent>
      </w:r>
    </w:p>
    <w:p w14:paraId="03B03BB0" w14:textId="77777777" w:rsidR="00C61626" w:rsidRDefault="00C61626" w:rsidP="00EB50AE">
      <w:pPr>
        <w:spacing w:after="0"/>
        <w:jc w:val="both"/>
        <w:rPr>
          <w:rFonts w:ascii="Arial" w:hAnsi="Arial" w:cs="Arial"/>
        </w:rPr>
      </w:pPr>
    </w:p>
    <w:p w14:paraId="1AEE7A2C" w14:textId="77777777" w:rsidR="00D863CD" w:rsidRPr="00FF7544" w:rsidRDefault="00D863CD" w:rsidP="00EB50AE">
      <w:pPr>
        <w:spacing w:after="0"/>
        <w:jc w:val="both"/>
        <w:rPr>
          <w:rFonts w:ascii="Arial" w:hAnsi="Arial" w:cs="Arial"/>
        </w:rPr>
      </w:pPr>
    </w:p>
    <w:p w14:paraId="49D1BC68" w14:textId="77777777" w:rsidR="00D863CD" w:rsidRPr="00FF7544" w:rsidRDefault="001400DB" w:rsidP="00EB50AE">
      <w:pPr>
        <w:jc w:val="both"/>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46A93004" wp14:editId="63A3E936">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6D64C77"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3004" id="Text Box 6" o:spid="_x0000_s1027" type="#_x0000_t202" style="position:absolute;left:0;text-align:left;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14:paraId="26D64C77"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14:paraId="0E35B421" w14:textId="77777777" w:rsidR="00D863CD" w:rsidRPr="00FF7544" w:rsidRDefault="001400DB" w:rsidP="00EB50AE">
      <w:pPr>
        <w:jc w:val="both"/>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22369BB4" wp14:editId="24000F20">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31510416" wp14:editId="0C168215">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4C215E" w14:textId="77777777" w:rsidR="00D863CD" w:rsidRPr="00FF7544" w:rsidRDefault="00D863CD" w:rsidP="00EB50AE">
      <w:pPr>
        <w:jc w:val="both"/>
        <w:rPr>
          <w:rFonts w:ascii="Arial" w:hAnsi="Arial" w:cs="Arial"/>
        </w:rPr>
        <w:sectPr w:rsidR="00D863CD" w:rsidRPr="00FF7544"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14:paraId="2CA8E2A6" w14:textId="77777777" w:rsidR="00D863CD" w:rsidRPr="00FF7544" w:rsidRDefault="00D863CD" w:rsidP="00EB50AE">
      <w:pPr>
        <w:jc w:val="both"/>
        <w:rPr>
          <w:rFonts w:ascii="Arial" w:hAnsi="Arial" w:cs="Arial"/>
        </w:rPr>
      </w:pPr>
    </w:p>
    <w:p w14:paraId="660BC96D" w14:textId="77777777" w:rsidR="00D863CD" w:rsidRPr="00FF7544" w:rsidRDefault="00D863CD" w:rsidP="00EB50AE">
      <w:pPr>
        <w:ind w:left="-851" w:right="-755"/>
        <w:jc w:val="both"/>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14:paraId="6D3B539B" w14:textId="77777777" w:rsidR="00DF26A8" w:rsidRDefault="009573D4" w:rsidP="00DF26A8">
      <w:pPr>
        <w:pStyle w:val="NoSpacing"/>
        <w:rPr>
          <w:b/>
          <w:color w:val="2F5496" w:themeColor="accent5" w:themeShade="BF"/>
          <w:sz w:val="24"/>
          <w:szCs w:val="24"/>
        </w:rPr>
      </w:pPr>
      <w:r w:rsidRPr="00FD08F5">
        <w:rPr>
          <w:b/>
          <w:color w:val="2F5496" w:themeColor="accent5" w:themeShade="BF"/>
          <w:sz w:val="24"/>
          <w:szCs w:val="24"/>
        </w:rPr>
        <w:t>What</w:t>
      </w:r>
      <w:r w:rsidR="00DF26A8" w:rsidRPr="00FD08F5">
        <w:rPr>
          <w:b/>
          <w:color w:val="2F5496" w:themeColor="accent5" w:themeShade="BF"/>
          <w:sz w:val="24"/>
          <w:szCs w:val="24"/>
        </w:rPr>
        <w:t xml:space="preserve"> is the North Yorkshire Safeguarding Practice Review Groups (NY SPRG) function?</w:t>
      </w:r>
    </w:p>
    <w:p w14:paraId="18034890" w14:textId="77777777" w:rsidR="00FD08F5" w:rsidRPr="00FD08F5" w:rsidRDefault="00FD08F5" w:rsidP="00DF26A8">
      <w:pPr>
        <w:pStyle w:val="NoSpacing"/>
        <w:rPr>
          <w:b/>
          <w:color w:val="2F5496" w:themeColor="accent5" w:themeShade="BF"/>
          <w:sz w:val="24"/>
          <w:szCs w:val="24"/>
        </w:rPr>
      </w:pPr>
    </w:p>
    <w:p w14:paraId="51037B7A" w14:textId="77777777" w:rsidR="00EB50AE" w:rsidRPr="00FD08F5" w:rsidRDefault="00EB50AE" w:rsidP="00DF26A8">
      <w:pPr>
        <w:pStyle w:val="NoSpacing"/>
        <w:jc w:val="both"/>
        <w:rPr>
          <w:sz w:val="24"/>
          <w:szCs w:val="24"/>
        </w:rPr>
      </w:pPr>
      <w:r w:rsidRPr="00FD08F5">
        <w:rPr>
          <w:sz w:val="24"/>
          <w:szCs w:val="24"/>
        </w:rPr>
        <w:t xml:space="preserve">In accordance with the Children and Social Work Act 2017, the </w:t>
      </w:r>
      <w:r w:rsidR="00DF26A8" w:rsidRPr="00FD08F5">
        <w:rPr>
          <w:sz w:val="24"/>
          <w:szCs w:val="24"/>
        </w:rPr>
        <w:t>NY</w:t>
      </w:r>
      <w:r w:rsidRPr="00FD08F5">
        <w:rPr>
          <w:sz w:val="24"/>
          <w:szCs w:val="24"/>
        </w:rPr>
        <w:t xml:space="preserve"> SPRG is the arrangement by which local safeguarding partners will;</w:t>
      </w:r>
    </w:p>
    <w:p w14:paraId="0DA4D5E2" w14:textId="77777777" w:rsidR="00DF26A8" w:rsidRPr="00FD08F5" w:rsidRDefault="00DF26A8" w:rsidP="00DF26A8">
      <w:pPr>
        <w:pStyle w:val="NoSpacing"/>
        <w:jc w:val="both"/>
        <w:rPr>
          <w:sz w:val="24"/>
          <w:szCs w:val="24"/>
        </w:rPr>
      </w:pPr>
    </w:p>
    <w:p w14:paraId="07ADFB6C" w14:textId="77777777" w:rsidR="00EB50AE" w:rsidRPr="00FD08F5" w:rsidRDefault="00EB50AE" w:rsidP="00FD08F5">
      <w:pPr>
        <w:pStyle w:val="NoSpacing"/>
        <w:numPr>
          <w:ilvl w:val="0"/>
          <w:numId w:val="16"/>
        </w:numPr>
        <w:jc w:val="both"/>
        <w:rPr>
          <w:sz w:val="24"/>
          <w:szCs w:val="24"/>
        </w:rPr>
      </w:pPr>
      <w:r w:rsidRPr="00FD08F5">
        <w:rPr>
          <w:sz w:val="24"/>
          <w:szCs w:val="24"/>
        </w:rPr>
        <w:t>Identify serious safeguarding cases which raise issues of importance in relation to the area and;</w:t>
      </w:r>
    </w:p>
    <w:p w14:paraId="38931A2E" w14:textId="77777777" w:rsidR="00DF26A8" w:rsidRPr="00FD08F5" w:rsidRDefault="00DF26A8" w:rsidP="00DF26A8">
      <w:pPr>
        <w:pStyle w:val="NoSpacing"/>
        <w:jc w:val="both"/>
        <w:rPr>
          <w:sz w:val="24"/>
          <w:szCs w:val="24"/>
        </w:rPr>
      </w:pPr>
    </w:p>
    <w:p w14:paraId="7E60162C" w14:textId="77777777" w:rsidR="00EB50AE" w:rsidRPr="00FD08F5" w:rsidRDefault="00EB50AE" w:rsidP="00FD08F5">
      <w:pPr>
        <w:pStyle w:val="NoSpacing"/>
        <w:numPr>
          <w:ilvl w:val="0"/>
          <w:numId w:val="16"/>
        </w:numPr>
        <w:jc w:val="both"/>
        <w:rPr>
          <w:sz w:val="24"/>
          <w:szCs w:val="24"/>
        </w:rPr>
      </w:pPr>
      <w:r w:rsidRPr="00FD08F5">
        <w:rPr>
          <w:sz w:val="24"/>
          <w:szCs w:val="24"/>
        </w:rPr>
        <w:t xml:space="preserve">For those cases to be reviewed under the supervision of safeguarding partners, where they consider it appropriate to identify any improvements that should be made by persons in the area to safeguard and promote the welfare </w:t>
      </w:r>
      <w:r w:rsidR="00E81A98" w:rsidRPr="00FD08F5">
        <w:rPr>
          <w:sz w:val="24"/>
          <w:szCs w:val="24"/>
        </w:rPr>
        <w:t>of children.</w:t>
      </w:r>
      <w:r w:rsidR="00E81A98" w:rsidRPr="00FD08F5">
        <w:rPr>
          <w:rStyle w:val="EndnoteReference"/>
          <w:sz w:val="24"/>
          <w:szCs w:val="24"/>
        </w:rPr>
        <w:endnoteReference w:id="1"/>
      </w:r>
    </w:p>
    <w:p w14:paraId="473F906B" w14:textId="77777777" w:rsidR="00DF26A8" w:rsidRPr="00FD08F5" w:rsidRDefault="00DF26A8" w:rsidP="00DF26A8">
      <w:pPr>
        <w:pStyle w:val="NoSpacing"/>
        <w:jc w:val="both"/>
        <w:rPr>
          <w:sz w:val="24"/>
          <w:szCs w:val="24"/>
        </w:rPr>
      </w:pPr>
    </w:p>
    <w:p w14:paraId="6C942B37" w14:textId="77777777" w:rsidR="00DF26A8" w:rsidRDefault="00DF26A8" w:rsidP="00DF26A8">
      <w:pPr>
        <w:pStyle w:val="NoSpacing"/>
        <w:jc w:val="both"/>
        <w:rPr>
          <w:b/>
          <w:color w:val="2F5496" w:themeColor="accent5" w:themeShade="BF"/>
          <w:sz w:val="24"/>
          <w:szCs w:val="24"/>
        </w:rPr>
      </w:pPr>
      <w:r w:rsidRPr="00FD08F5">
        <w:rPr>
          <w:b/>
          <w:color w:val="2F5496" w:themeColor="accent5" w:themeShade="BF"/>
          <w:sz w:val="24"/>
          <w:szCs w:val="24"/>
        </w:rPr>
        <w:t>What is the NY SPRG’s purpose?</w:t>
      </w:r>
    </w:p>
    <w:p w14:paraId="0B4ACEBA" w14:textId="77777777" w:rsidR="00FD08F5" w:rsidRPr="00FD08F5" w:rsidRDefault="00FD08F5" w:rsidP="00DF26A8">
      <w:pPr>
        <w:pStyle w:val="NoSpacing"/>
        <w:jc w:val="both"/>
        <w:rPr>
          <w:b/>
          <w:color w:val="2F5496" w:themeColor="accent5" w:themeShade="BF"/>
          <w:sz w:val="24"/>
          <w:szCs w:val="24"/>
        </w:rPr>
      </w:pPr>
    </w:p>
    <w:p w14:paraId="4FE95EDB" w14:textId="77777777" w:rsidR="00DF26A8" w:rsidRPr="00FD08F5" w:rsidRDefault="00E81A98" w:rsidP="00DF26A8">
      <w:pPr>
        <w:pStyle w:val="NoSpacing"/>
        <w:jc w:val="both"/>
        <w:rPr>
          <w:sz w:val="24"/>
          <w:szCs w:val="24"/>
        </w:rPr>
      </w:pPr>
      <w:r w:rsidRPr="00FD08F5">
        <w:rPr>
          <w:sz w:val="24"/>
          <w:szCs w:val="24"/>
        </w:rPr>
        <w:t>The purpose of the NY SPRG is to</w:t>
      </w:r>
      <w:r w:rsidR="00DF26A8" w:rsidRPr="00FD08F5">
        <w:rPr>
          <w:sz w:val="24"/>
          <w:szCs w:val="24"/>
        </w:rPr>
        <w:t xml:space="preserve"> contribute to rapid reviews convened by the NYSCP Business Unit for cases that have been notified to the Child Safeguarding Practice Review Panel (CSPRP)</w:t>
      </w:r>
      <w:r w:rsidRPr="00FD08F5">
        <w:rPr>
          <w:rStyle w:val="EndnoteReference"/>
          <w:sz w:val="24"/>
          <w:szCs w:val="24"/>
        </w:rPr>
        <w:endnoteReference w:id="2"/>
      </w:r>
      <w:r w:rsidR="00DF26A8" w:rsidRPr="00FD08F5">
        <w:rPr>
          <w:sz w:val="24"/>
          <w:szCs w:val="24"/>
        </w:rPr>
        <w:t xml:space="preserve"> and </w:t>
      </w:r>
      <w:r w:rsidR="00DF26A8" w:rsidRPr="00FD08F5">
        <w:rPr>
          <w:rFonts w:cs="Arial"/>
          <w:sz w:val="24"/>
          <w:szCs w:val="24"/>
        </w:rPr>
        <w:t>decide on any next steps which includes</w:t>
      </w:r>
      <w:r w:rsidRPr="00FD08F5">
        <w:rPr>
          <w:rFonts w:cs="Arial"/>
          <w:sz w:val="24"/>
          <w:szCs w:val="24"/>
        </w:rPr>
        <w:t xml:space="preserve"> whether or not to undertake a Local C</w:t>
      </w:r>
      <w:r w:rsidR="00DF26A8" w:rsidRPr="00FD08F5">
        <w:rPr>
          <w:rFonts w:cs="Arial"/>
          <w:sz w:val="24"/>
          <w:szCs w:val="24"/>
        </w:rPr>
        <w:t xml:space="preserve">hild </w:t>
      </w:r>
      <w:r w:rsidRPr="00FD08F5">
        <w:rPr>
          <w:rFonts w:cs="Arial"/>
          <w:sz w:val="24"/>
          <w:szCs w:val="24"/>
        </w:rPr>
        <w:t>Safeguarding P</w:t>
      </w:r>
      <w:r w:rsidR="00DF26A8" w:rsidRPr="00FD08F5">
        <w:rPr>
          <w:rFonts w:cs="Arial"/>
          <w:sz w:val="24"/>
          <w:szCs w:val="24"/>
        </w:rPr>
        <w:t xml:space="preserve">ractice </w:t>
      </w:r>
      <w:r w:rsidRPr="00FD08F5">
        <w:rPr>
          <w:rFonts w:cs="Arial"/>
          <w:sz w:val="24"/>
          <w:szCs w:val="24"/>
        </w:rPr>
        <w:t>R</w:t>
      </w:r>
      <w:r w:rsidR="00DF26A8" w:rsidRPr="00FD08F5">
        <w:rPr>
          <w:rFonts w:cs="Arial"/>
          <w:sz w:val="24"/>
          <w:szCs w:val="24"/>
        </w:rPr>
        <w:t xml:space="preserve">eview </w:t>
      </w:r>
      <w:r w:rsidRPr="00FD08F5">
        <w:rPr>
          <w:rFonts w:cs="Arial"/>
          <w:sz w:val="24"/>
          <w:szCs w:val="24"/>
        </w:rPr>
        <w:t xml:space="preserve">(LCSPR) </w:t>
      </w:r>
      <w:r w:rsidR="00DF26A8" w:rsidRPr="00FD08F5">
        <w:rPr>
          <w:rFonts w:cs="Arial"/>
          <w:sz w:val="24"/>
          <w:szCs w:val="24"/>
        </w:rPr>
        <w:t>and whether the review may have national importance.</w:t>
      </w:r>
    </w:p>
    <w:p w14:paraId="46E8D49F" w14:textId="77777777" w:rsidR="00DF26A8" w:rsidRPr="00FD08F5" w:rsidRDefault="00DF26A8" w:rsidP="00DF26A8">
      <w:pPr>
        <w:pStyle w:val="NoSpacing"/>
        <w:rPr>
          <w:sz w:val="24"/>
          <w:szCs w:val="24"/>
        </w:rPr>
      </w:pPr>
    </w:p>
    <w:p w14:paraId="6D31A22A" w14:textId="77777777" w:rsidR="00DF26A8" w:rsidRPr="00FD08F5" w:rsidRDefault="00DF26A8" w:rsidP="00DF26A8">
      <w:pPr>
        <w:pStyle w:val="NoSpacing"/>
        <w:jc w:val="both"/>
        <w:rPr>
          <w:sz w:val="24"/>
          <w:szCs w:val="24"/>
        </w:rPr>
      </w:pPr>
      <w:r w:rsidRPr="00FD08F5">
        <w:rPr>
          <w:sz w:val="24"/>
          <w:szCs w:val="24"/>
        </w:rPr>
        <w:t xml:space="preserve">To </w:t>
      </w:r>
      <w:r w:rsidR="0020601F" w:rsidRPr="00FD08F5">
        <w:rPr>
          <w:sz w:val="24"/>
          <w:szCs w:val="24"/>
        </w:rPr>
        <w:t xml:space="preserve">recommend to the </w:t>
      </w:r>
      <w:r w:rsidRPr="00FD08F5">
        <w:rPr>
          <w:sz w:val="24"/>
          <w:szCs w:val="24"/>
        </w:rPr>
        <w:t xml:space="preserve">safeguarding partners of the NYSCP the outcomes of rapid reviews so they can inform the CSPRP of the outcomes with clear rationale regarding whether or not any safeguarding review is required. </w:t>
      </w:r>
    </w:p>
    <w:p w14:paraId="24270D43" w14:textId="77777777" w:rsidR="00DF26A8" w:rsidRPr="00FD08F5" w:rsidRDefault="00DF26A8" w:rsidP="00DF26A8">
      <w:pPr>
        <w:pStyle w:val="NoSpacing"/>
        <w:jc w:val="both"/>
        <w:rPr>
          <w:sz w:val="24"/>
          <w:szCs w:val="24"/>
        </w:rPr>
      </w:pPr>
    </w:p>
    <w:p w14:paraId="09347B51" w14:textId="77777777" w:rsidR="00DF26A8" w:rsidRPr="00FD08F5" w:rsidRDefault="00DF26A8" w:rsidP="00DF26A8">
      <w:pPr>
        <w:pStyle w:val="NoSpacing"/>
        <w:jc w:val="both"/>
        <w:rPr>
          <w:sz w:val="24"/>
          <w:szCs w:val="24"/>
        </w:rPr>
      </w:pPr>
      <w:r w:rsidRPr="00FD08F5">
        <w:rPr>
          <w:sz w:val="24"/>
          <w:szCs w:val="24"/>
        </w:rPr>
        <w:t xml:space="preserve">To consider cases referred to the NY SPRG by partner agencies and make recommendations on whether or not these cases meet the criteria for a multi-agency review, a single agency review or whether no review is required. </w:t>
      </w:r>
    </w:p>
    <w:p w14:paraId="3D6B79D7" w14:textId="77777777" w:rsidR="00DF26A8" w:rsidRPr="00FD08F5" w:rsidRDefault="00DF26A8" w:rsidP="00DF26A8">
      <w:pPr>
        <w:pStyle w:val="NoSpacing"/>
        <w:jc w:val="both"/>
        <w:rPr>
          <w:sz w:val="24"/>
          <w:szCs w:val="24"/>
        </w:rPr>
      </w:pPr>
    </w:p>
    <w:p w14:paraId="5F2DF569" w14:textId="77777777" w:rsidR="00DF26A8" w:rsidRPr="00FD08F5" w:rsidRDefault="001B0841" w:rsidP="00DF26A8">
      <w:pPr>
        <w:pStyle w:val="NoSpacing"/>
        <w:jc w:val="both"/>
        <w:rPr>
          <w:sz w:val="24"/>
          <w:szCs w:val="24"/>
        </w:rPr>
      </w:pPr>
      <w:r w:rsidRPr="00FD08F5">
        <w:rPr>
          <w:sz w:val="24"/>
          <w:szCs w:val="24"/>
        </w:rPr>
        <w:t>Ensure that reports highlighting the learning from the reviews are produced and disseminated.</w:t>
      </w:r>
    </w:p>
    <w:p w14:paraId="012CA1DA" w14:textId="77777777" w:rsidR="001B0841" w:rsidRPr="00FD08F5" w:rsidRDefault="001B0841" w:rsidP="00DF26A8">
      <w:pPr>
        <w:pStyle w:val="NoSpacing"/>
        <w:jc w:val="both"/>
        <w:rPr>
          <w:sz w:val="24"/>
          <w:szCs w:val="24"/>
        </w:rPr>
      </w:pPr>
    </w:p>
    <w:p w14:paraId="2849E078" w14:textId="77777777" w:rsidR="001B0841" w:rsidRPr="00FD08F5" w:rsidRDefault="001B0841" w:rsidP="00DF26A8">
      <w:pPr>
        <w:pStyle w:val="NoSpacing"/>
        <w:jc w:val="both"/>
        <w:rPr>
          <w:sz w:val="24"/>
          <w:szCs w:val="24"/>
        </w:rPr>
      </w:pPr>
      <w:r w:rsidRPr="00FD08F5">
        <w:rPr>
          <w:sz w:val="24"/>
          <w:szCs w:val="24"/>
        </w:rPr>
        <w:t>Respond to notifications fr</w:t>
      </w:r>
      <w:r w:rsidR="0020601F" w:rsidRPr="00FD08F5">
        <w:rPr>
          <w:sz w:val="24"/>
          <w:szCs w:val="24"/>
        </w:rPr>
        <w:t>o</w:t>
      </w:r>
      <w:r w:rsidRPr="00FD08F5">
        <w:rPr>
          <w:sz w:val="24"/>
          <w:szCs w:val="24"/>
        </w:rPr>
        <w:t xml:space="preserve">m the CSPRP on their decisions for the type of review that is required for a particular case and where necessary recommend to safeguarding partners that such a review be commissioned. </w:t>
      </w:r>
    </w:p>
    <w:p w14:paraId="35351EE2" w14:textId="77777777" w:rsidR="001B0841" w:rsidRPr="00FD08F5" w:rsidRDefault="001B0841" w:rsidP="00DF26A8">
      <w:pPr>
        <w:pStyle w:val="NoSpacing"/>
        <w:jc w:val="both"/>
        <w:rPr>
          <w:sz w:val="24"/>
          <w:szCs w:val="24"/>
        </w:rPr>
      </w:pPr>
    </w:p>
    <w:p w14:paraId="51EE876D" w14:textId="77777777" w:rsidR="001B0841" w:rsidRPr="00FD08F5" w:rsidRDefault="001B0841" w:rsidP="00DF26A8">
      <w:pPr>
        <w:pStyle w:val="NoSpacing"/>
        <w:jc w:val="both"/>
        <w:rPr>
          <w:sz w:val="24"/>
          <w:szCs w:val="24"/>
        </w:rPr>
      </w:pPr>
      <w:r w:rsidRPr="00FD08F5">
        <w:rPr>
          <w:sz w:val="24"/>
          <w:szCs w:val="24"/>
        </w:rPr>
        <w:t>Ensure reports from local reviews are shared with the CSPRP and the Secretary of State ahead of their publication.</w:t>
      </w:r>
    </w:p>
    <w:p w14:paraId="46CE2F16" w14:textId="77777777" w:rsidR="001B0841" w:rsidRPr="00FD08F5" w:rsidRDefault="001B0841" w:rsidP="00DF26A8">
      <w:pPr>
        <w:pStyle w:val="NoSpacing"/>
        <w:jc w:val="both"/>
        <w:rPr>
          <w:sz w:val="24"/>
          <w:szCs w:val="24"/>
        </w:rPr>
      </w:pPr>
    </w:p>
    <w:p w14:paraId="6EF12FEA" w14:textId="77777777" w:rsidR="001B0841" w:rsidRPr="00FD08F5" w:rsidRDefault="001B0841" w:rsidP="00DF26A8">
      <w:pPr>
        <w:pStyle w:val="NoSpacing"/>
        <w:jc w:val="both"/>
        <w:rPr>
          <w:sz w:val="24"/>
          <w:szCs w:val="24"/>
        </w:rPr>
      </w:pPr>
      <w:r w:rsidRPr="00FD08F5">
        <w:rPr>
          <w:sz w:val="24"/>
          <w:szCs w:val="24"/>
        </w:rPr>
        <w:t>Consider cases where it is agreed that there may be multi-agency learning which could be applied to future practice and;</w:t>
      </w:r>
    </w:p>
    <w:p w14:paraId="35C80471" w14:textId="77777777" w:rsidR="001B0841" w:rsidRPr="00FD08F5" w:rsidRDefault="001B0841" w:rsidP="00DF26A8">
      <w:pPr>
        <w:pStyle w:val="NoSpacing"/>
        <w:jc w:val="both"/>
        <w:rPr>
          <w:sz w:val="24"/>
          <w:szCs w:val="24"/>
        </w:rPr>
      </w:pPr>
    </w:p>
    <w:p w14:paraId="555F3432" w14:textId="77777777" w:rsidR="001B0841" w:rsidRPr="00FD08F5" w:rsidRDefault="001B0841" w:rsidP="00DF26A8">
      <w:pPr>
        <w:pStyle w:val="NoSpacing"/>
        <w:jc w:val="both"/>
        <w:rPr>
          <w:sz w:val="24"/>
          <w:szCs w:val="24"/>
        </w:rPr>
      </w:pPr>
      <w:r w:rsidRPr="00FD08F5">
        <w:rPr>
          <w:sz w:val="24"/>
          <w:szCs w:val="24"/>
        </w:rPr>
        <w:t xml:space="preserve">Recommend to the NYSCP Executive of potential authors for local child safeguarding practice reviews or any other form of review the NY SPRG feels needs to be undertaken.   </w:t>
      </w:r>
    </w:p>
    <w:p w14:paraId="40625781" w14:textId="77777777" w:rsidR="00DF26A8" w:rsidRPr="00FD08F5" w:rsidRDefault="00DF26A8" w:rsidP="00DF26A8">
      <w:pPr>
        <w:pStyle w:val="NoSpacing"/>
        <w:rPr>
          <w:sz w:val="24"/>
          <w:szCs w:val="24"/>
        </w:rPr>
      </w:pPr>
    </w:p>
    <w:p w14:paraId="17C3B493" w14:textId="77777777" w:rsidR="00DF26A8" w:rsidRDefault="00DF26A8" w:rsidP="00DF26A8">
      <w:pPr>
        <w:pStyle w:val="NoSpacing"/>
        <w:rPr>
          <w:b/>
          <w:color w:val="2F5496" w:themeColor="accent5" w:themeShade="BF"/>
          <w:sz w:val="24"/>
          <w:szCs w:val="24"/>
        </w:rPr>
      </w:pPr>
      <w:r w:rsidRPr="00FD08F5">
        <w:rPr>
          <w:b/>
          <w:color w:val="2F5496" w:themeColor="accent5" w:themeShade="BF"/>
          <w:sz w:val="24"/>
          <w:szCs w:val="24"/>
        </w:rPr>
        <w:t>Membership</w:t>
      </w:r>
    </w:p>
    <w:p w14:paraId="49F33488" w14:textId="77777777" w:rsidR="00FD08F5" w:rsidRPr="00FD08F5" w:rsidRDefault="00FD08F5" w:rsidP="00DF26A8">
      <w:pPr>
        <w:pStyle w:val="NoSpacing"/>
        <w:rPr>
          <w:b/>
          <w:color w:val="2F5496" w:themeColor="accent5" w:themeShade="BF"/>
          <w:sz w:val="24"/>
          <w:szCs w:val="24"/>
        </w:rPr>
      </w:pPr>
    </w:p>
    <w:p w14:paraId="12332A0A" w14:textId="77777777" w:rsidR="00DF26A8" w:rsidRPr="00FD08F5" w:rsidRDefault="00DF26A8" w:rsidP="00DF26A8">
      <w:pPr>
        <w:pStyle w:val="NoSpacing"/>
        <w:rPr>
          <w:color w:val="auto"/>
          <w:sz w:val="24"/>
          <w:szCs w:val="24"/>
        </w:rPr>
      </w:pPr>
      <w:r w:rsidRPr="00FD08F5">
        <w:rPr>
          <w:color w:val="auto"/>
          <w:sz w:val="24"/>
          <w:szCs w:val="24"/>
        </w:rPr>
        <w:t>The NY SPRG’s core membership includes;</w:t>
      </w:r>
    </w:p>
    <w:p w14:paraId="4FE072EF" w14:textId="77777777" w:rsidR="001B0841" w:rsidRPr="00FD08F5" w:rsidRDefault="001B0841" w:rsidP="00DF26A8">
      <w:pPr>
        <w:pStyle w:val="NoSpacing"/>
        <w:rPr>
          <w:color w:val="auto"/>
          <w:sz w:val="24"/>
          <w:szCs w:val="24"/>
        </w:rPr>
      </w:pPr>
    </w:p>
    <w:p w14:paraId="70A62897" w14:textId="77777777" w:rsidR="00DF26A8" w:rsidRPr="00FD08F5" w:rsidRDefault="00DF26A8" w:rsidP="001B0841">
      <w:pPr>
        <w:pStyle w:val="NoSpacing"/>
        <w:numPr>
          <w:ilvl w:val="0"/>
          <w:numId w:val="13"/>
        </w:numPr>
        <w:rPr>
          <w:sz w:val="24"/>
          <w:szCs w:val="24"/>
        </w:rPr>
      </w:pPr>
      <w:r w:rsidRPr="00FD08F5">
        <w:rPr>
          <w:sz w:val="24"/>
          <w:szCs w:val="24"/>
        </w:rPr>
        <w:t>NYSCP Manager</w:t>
      </w:r>
    </w:p>
    <w:p w14:paraId="31702D08" w14:textId="77777777" w:rsidR="00DF26A8" w:rsidRPr="00FD08F5" w:rsidRDefault="00DF26A8" w:rsidP="001B0841">
      <w:pPr>
        <w:pStyle w:val="NoSpacing"/>
        <w:numPr>
          <w:ilvl w:val="0"/>
          <w:numId w:val="13"/>
        </w:numPr>
        <w:rPr>
          <w:sz w:val="24"/>
          <w:szCs w:val="24"/>
        </w:rPr>
      </w:pPr>
      <w:r w:rsidRPr="00FD08F5">
        <w:rPr>
          <w:sz w:val="24"/>
          <w:szCs w:val="24"/>
        </w:rPr>
        <w:t xml:space="preserve">Head of Safeguarding, CSC NYCC </w:t>
      </w:r>
    </w:p>
    <w:p w14:paraId="377C4F45" w14:textId="77777777" w:rsidR="00DF26A8" w:rsidRPr="00FD08F5" w:rsidRDefault="00DF26A8" w:rsidP="001B0841">
      <w:pPr>
        <w:pStyle w:val="NoSpacing"/>
        <w:numPr>
          <w:ilvl w:val="0"/>
          <w:numId w:val="13"/>
        </w:numPr>
        <w:rPr>
          <w:sz w:val="24"/>
          <w:szCs w:val="24"/>
        </w:rPr>
      </w:pPr>
      <w:r w:rsidRPr="00FD08F5">
        <w:rPr>
          <w:sz w:val="24"/>
          <w:szCs w:val="24"/>
        </w:rPr>
        <w:t>Safeguarding Unit Manager, NYCC</w:t>
      </w:r>
    </w:p>
    <w:p w14:paraId="36F9C8DB" w14:textId="77777777" w:rsidR="00DF26A8" w:rsidRPr="00FD08F5" w:rsidRDefault="00DF26A8" w:rsidP="001B0841">
      <w:pPr>
        <w:pStyle w:val="NoSpacing"/>
        <w:numPr>
          <w:ilvl w:val="0"/>
          <w:numId w:val="13"/>
        </w:numPr>
        <w:rPr>
          <w:sz w:val="24"/>
          <w:szCs w:val="24"/>
        </w:rPr>
      </w:pPr>
      <w:r w:rsidRPr="00FD08F5">
        <w:rPr>
          <w:sz w:val="24"/>
          <w:szCs w:val="24"/>
        </w:rPr>
        <w:t>Detective Superintendent Safeguarding, North Yorkshire Police</w:t>
      </w:r>
    </w:p>
    <w:p w14:paraId="279B5BA4" w14:textId="77777777" w:rsidR="00DF26A8" w:rsidRPr="00FD08F5" w:rsidRDefault="00DF26A8" w:rsidP="001B0841">
      <w:pPr>
        <w:pStyle w:val="NoSpacing"/>
        <w:numPr>
          <w:ilvl w:val="0"/>
          <w:numId w:val="13"/>
        </w:numPr>
        <w:rPr>
          <w:sz w:val="24"/>
          <w:szCs w:val="24"/>
        </w:rPr>
      </w:pPr>
      <w:r w:rsidRPr="00FD08F5">
        <w:rPr>
          <w:sz w:val="24"/>
          <w:szCs w:val="24"/>
        </w:rPr>
        <w:t xml:space="preserve">Designated Doctor for Safeguarding Children/Children In Care </w:t>
      </w:r>
    </w:p>
    <w:p w14:paraId="0E177381" w14:textId="77777777" w:rsidR="00DF26A8" w:rsidRPr="00FD08F5" w:rsidRDefault="00DF26A8" w:rsidP="001B0841">
      <w:pPr>
        <w:pStyle w:val="NoSpacing"/>
        <w:numPr>
          <w:ilvl w:val="0"/>
          <w:numId w:val="13"/>
        </w:numPr>
        <w:rPr>
          <w:sz w:val="24"/>
          <w:szCs w:val="24"/>
        </w:rPr>
      </w:pPr>
      <w:r w:rsidRPr="00FD08F5">
        <w:rPr>
          <w:sz w:val="24"/>
          <w:szCs w:val="24"/>
        </w:rPr>
        <w:t>Designated Nurse for Safeguarding Children/Children In Care</w:t>
      </w:r>
    </w:p>
    <w:p w14:paraId="34B6D5EF" w14:textId="77777777" w:rsidR="00DF26A8" w:rsidRPr="00FD08F5" w:rsidRDefault="00DF26A8" w:rsidP="001B0841">
      <w:pPr>
        <w:pStyle w:val="NoSpacing"/>
        <w:numPr>
          <w:ilvl w:val="0"/>
          <w:numId w:val="13"/>
        </w:numPr>
        <w:rPr>
          <w:sz w:val="24"/>
          <w:szCs w:val="24"/>
        </w:rPr>
      </w:pPr>
      <w:r w:rsidRPr="00FD08F5">
        <w:rPr>
          <w:sz w:val="24"/>
          <w:szCs w:val="24"/>
        </w:rPr>
        <w:t xml:space="preserve">Named Nurse for Safeguarding, HDFT </w:t>
      </w:r>
    </w:p>
    <w:p w14:paraId="653A02E5" w14:textId="77777777" w:rsidR="00DF26A8" w:rsidRPr="00FD08F5" w:rsidRDefault="00DF26A8" w:rsidP="001B0841">
      <w:pPr>
        <w:pStyle w:val="NoSpacing"/>
        <w:numPr>
          <w:ilvl w:val="0"/>
          <w:numId w:val="13"/>
        </w:numPr>
        <w:rPr>
          <w:sz w:val="24"/>
          <w:szCs w:val="24"/>
        </w:rPr>
      </w:pPr>
      <w:r w:rsidRPr="00FD08F5">
        <w:rPr>
          <w:sz w:val="24"/>
          <w:szCs w:val="24"/>
        </w:rPr>
        <w:t>Head of Safeguarding, TEWV</w:t>
      </w:r>
    </w:p>
    <w:p w14:paraId="7D8DF98F" w14:textId="77777777" w:rsidR="00DF26A8" w:rsidRPr="00FD08F5" w:rsidRDefault="00DF26A8" w:rsidP="001B0841">
      <w:pPr>
        <w:pStyle w:val="NoSpacing"/>
        <w:numPr>
          <w:ilvl w:val="0"/>
          <w:numId w:val="13"/>
        </w:numPr>
        <w:rPr>
          <w:sz w:val="24"/>
          <w:szCs w:val="24"/>
        </w:rPr>
      </w:pPr>
      <w:r w:rsidRPr="00FD08F5">
        <w:rPr>
          <w:sz w:val="24"/>
          <w:szCs w:val="24"/>
        </w:rPr>
        <w:t>Head of Safeguarding, YTHFT</w:t>
      </w:r>
    </w:p>
    <w:p w14:paraId="4AABD224" w14:textId="77777777" w:rsidR="00DF26A8" w:rsidRPr="00FD08F5" w:rsidRDefault="00DF26A8" w:rsidP="001B0841">
      <w:pPr>
        <w:pStyle w:val="NoSpacing"/>
        <w:numPr>
          <w:ilvl w:val="0"/>
          <w:numId w:val="13"/>
        </w:numPr>
        <w:rPr>
          <w:sz w:val="24"/>
          <w:szCs w:val="24"/>
        </w:rPr>
      </w:pPr>
      <w:r w:rsidRPr="00FD08F5">
        <w:rPr>
          <w:sz w:val="24"/>
          <w:szCs w:val="24"/>
        </w:rPr>
        <w:t>Principal Advisor, Education and Skills</w:t>
      </w:r>
    </w:p>
    <w:p w14:paraId="3CA99E33" w14:textId="77777777" w:rsidR="00DF26A8" w:rsidRPr="00FD08F5" w:rsidRDefault="00DF26A8" w:rsidP="00DF26A8">
      <w:pPr>
        <w:pStyle w:val="NoSpacing"/>
        <w:rPr>
          <w:sz w:val="24"/>
          <w:szCs w:val="24"/>
        </w:rPr>
      </w:pPr>
    </w:p>
    <w:p w14:paraId="5226CC50" w14:textId="5B57E107" w:rsidR="00DF26A8" w:rsidRPr="00FD08F5" w:rsidRDefault="00DF26A8" w:rsidP="00E81A98">
      <w:pPr>
        <w:pStyle w:val="NoSpacing"/>
        <w:jc w:val="both"/>
        <w:rPr>
          <w:sz w:val="24"/>
          <w:szCs w:val="24"/>
        </w:rPr>
      </w:pPr>
      <w:r w:rsidRPr="00FD08F5">
        <w:rPr>
          <w:sz w:val="24"/>
          <w:szCs w:val="24"/>
        </w:rPr>
        <w:t xml:space="preserve">The NY SPRG will co-opt additional representatives as necessary dependant on </w:t>
      </w:r>
      <w:r w:rsidR="00057037">
        <w:rPr>
          <w:sz w:val="24"/>
          <w:szCs w:val="24"/>
        </w:rPr>
        <w:t>which are reviewed</w:t>
      </w:r>
      <w:r w:rsidRPr="00FD08F5">
        <w:rPr>
          <w:sz w:val="24"/>
          <w:szCs w:val="24"/>
        </w:rPr>
        <w:t xml:space="preserve">.  </w:t>
      </w:r>
    </w:p>
    <w:p w14:paraId="35790556" w14:textId="77777777" w:rsidR="001B0841" w:rsidRPr="00FD08F5" w:rsidRDefault="001B0841" w:rsidP="00E81A98">
      <w:pPr>
        <w:pStyle w:val="NoSpacing"/>
        <w:jc w:val="both"/>
        <w:rPr>
          <w:color w:val="2F5496" w:themeColor="accent5" w:themeShade="BF"/>
          <w:sz w:val="24"/>
          <w:szCs w:val="24"/>
        </w:rPr>
      </w:pPr>
    </w:p>
    <w:p w14:paraId="7ECE79C6" w14:textId="77777777" w:rsidR="001B0841" w:rsidRDefault="001B0841" w:rsidP="00DF26A8">
      <w:pPr>
        <w:pStyle w:val="NoSpacing"/>
        <w:rPr>
          <w:b/>
          <w:color w:val="2F5496" w:themeColor="accent5" w:themeShade="BF"/>
          <w:sz w:val="24"/>
          <w:szCs w:val="24"/>
        </w:rPr>
      </w:pPr>
      <w:r w:rsidRPr="00FD08F5">
        <w:rPr>
          <w:b/>
          <w:color w:val="2F5496" w:themeColor="accent5" w:themeShade="BF"/>
          <w:sz w:val="24"/>
          <w:szCs w:val="24"/>
        </w:rPr>
        <w:t>Governance</w:t>
      </w:r>
    </w:p>
    <w:p w14:paraId="52229059" w14:textId="77777777" w:rsidR="00FD08F5" w:rsidRPr="00FD08F5" w:rsidRDefault="00FD08F5" w:rsidP="00DF26A8">
      <w:pPr>
        <w:pStyle w:val="NoSpacing"/>
        <w:rPr>
          <w:b/>
          <w:color w:val="2F5496" w:themeColor="accent5" w:themeShade="BF"/>
          <w:sz w:val="24"/>
          <w:szCs w:val="24"/>
        </w:rPr>
      </w:pPr>
    </w:p>
    <w:p w14:paraId="13088412" w14:textId="77777777" w:rsidR="001B0841" w:rsidRPr="00FD08F5" w:rsidRDefault="001B0841" w:rsidP="00E81A98">
      <w:pPr>
        <w:pStyle w:val="NoSpacing"/>
        <w:jc w:val="both"/>
        <w:rPr>
          <w:color w:val="auto"/>
          <w:sz w:val="24"/>
          <w:szCs w:val="24"/>
        </w:rPr>
      </w:pPr>
      <w:r w:rsidRPr="00FD08F5">
        <w:rPr>
          <w:color w:val="auto"/>
          <w:sz w:val="24"/>
          <w:szCs w:val="24"/>
        </w:rPr>
        <w:t xml:space="preserve">All NY SPRG members are responsible for raising awareness of the need to identify cases for discussion, including those which meet the criteria </w:t>
      </w:r>
      <w:r w:rsidRPr="00FD08F5">
        <w:rPr>
          <w:color w:val="auto"/>
          <w:sz w:val="24"/>
          <w:szCs w:val="24"/>
        </w:rPr>
        <w:lastRenderedPageBreak/>
        <w:t>for notification to the CSPRP via the Local Authority.</w:t>
      </w:r>
    </w:p>
    <w:p w14:paraId="48BF62EE" w14:textId="77777777" w:rsidR="001B0841" w:rsidRPr="00FD08F5" w:rsidRDefault="001B0841" w:rsidP="00E81A98">
      <w:pPr>
        <w:pStyle w:val="NoSpacing"/>
        <w:jc w:val="both"/>
        <w:rPr>
          <w:color w:val="auto"/>
          <w:sz w:val="24"/>
          <w:szCs w:val="24"/>
        </w:rPr>
      </w:pPr>
    </w:p>
    <w:p w14:paraId="71432DBC" w14:textId="77777777" w:rsidR="001B0841" w:rsidRPr="00FD08F5" w:rsidRDefault="001B0841" w:rsidP="00E81A98">
      <w:pPr>
        <w:pStyle w:val="NoSpacing"/>
        <w:jc w:val="both"/>
        <w:rPr>
          <w:color w:val="auto"/>
          <w:sz w:val="24"/>
          <w:szCs w:val="24"/>
        </w:rPr>
      </w:pPr>
      <w:r w:rsidRPr="00FD08F5">
        <w:rPr>
          <w:color w:val="auto"/>
          <w:sz w:val="24"/>
          <w:szCs w:val="24"/>
        </w:rPr>
        <w:t xml:space="preserve">The NY SCPRG provides a quarterly report of discussions and outcomes to the NYSCP Executive </w:t>
      </w:r>
      <w:r w:rsidRPr="00FD08F5">
        <w:rPr>
          <w:rFonts w:cs="Arial"/>
          <w:sz w:val="24"/>
          <w:szCs w:val="24"/>
        </w:rPr>
        <w:t>and ensures that members are appraised of the progress and outcome of any reviews.</w:t>
      </w:r>
    </w:p>
    <w:p w14:paraId="393E6701" w14:textId="77777777" w:rsidR="00DF26A8" w:rsidRPr="00FD08F5" w:rsidRDefault="00DF26A8" w:rsidP="00E81A98">
      <w:pPr>
        <w:pStyle w:val="NoSpacing"/>
        <w:jc w:val="both"/>
        <w:rPr>
          <w:sz w:val="24"/>
          <w:szCs w:val="24"/>
        </w:rPr>
      </w:pPr>
    </w:p>
    <w:p w14:paraId="2A0265CF" w14:textId="77777777" w:rsidR="001B0841" w:rsidRPr="00FD08F5" w:rsidRDefault="001B0841" w:rsidP="00E81A98">
      <w:pPr>
        <w:pStyle w:val="NoSpacing"/>
        <w:jc w:val="both"/>
        <w:rPr>
          <w:sz w:val="24"/>
          <w:szCs w:val="24"/>
        </w:rPr>
      </w:pPr>
      <w:r w:rsidRPr="00FD08F5">
        <w:rPr>
          <w:sz w:val="24"/>
          <w:szCs w:val="24"/>
        </w:rPr>
        <w:t>The NY SPRG inform</w:t>
      </w:r>
      <w:r w:rsidR="0020601F" w:rsidRPr="00FD08F5">
        <w:rPr>
          <w:sz w:val="24"/>
          <w:szCs w:val="24"/>
        </w:rPr>
        <w:t>s</w:t>
      </w:r>
      <w:r w:rsidRPr="00FD08F5">
        <w:rPr>
          <w:sz w:val="24"/>
          <w:szCs w:val="24"/>
        </w:rPr>
        <w:t xml:space="preserve"> the CSPRP of the outcomes of all rapid reviews which have met the notification threshold.  </w:t>
      </w:r>
    </w:p>
    <w:p w14:paraId="390884E0" w14:textId="77777777" w:rsidR="001B0841" w:rsidRPr="00FD08F5" w:rsidRDefault="001B0841" w:rsidP="00E81A98">
      <w:pPr>
        <w:pStyle w:val="NoSpacing"/>
        <w:jc w:val="both"/>
        <w:rPr>
          <w:sz w:val="24"/>
          <w:szCs w:val="24"/>
        </w:rPr>
      </w:pPr>
    </w:p>
    <w:p w14:paraId="16DE5494" w14:textId="77777777" w:rsidR="001B0841" w:rsidRPr="00FD08F5" w:rsidRDefault="001B0841" w:rsidP="00E81A98">
      <w:pPr>
        <w:pStyle w:val="NoSpacing"/>
        <w:jc w:val="both"/>
        <w:rPr>
          <w:sz w:val="24"/>
          <w:szCs w:val="24"/>
        </w:rPr>
      </w:pPr>
      <w:r w:rsidRPr="00FD08F5">
        <w:rPr>
          <w:sz w:val="24"/>
          <w:szCs w:val="24"/>
        </w:rPr>
        <w:t xml:space="preserve">It is the responsibility of the NYSCP Business Unit to forward the outcomes of all </w:t>
      </w:r>
      <w:r w:rsidR="00E81A98" w:rsidRPr="00FD08F5">
        <w:rPr>
          <w:rFonts w:cs="Arial"/>
          <w:sz w:val="24"/>
          <w:szCs w:val="24"/>
        </w:rPr>
        <w:t>LCSPR</w:t>
      </w:r>
      <w:r w:rsidRPr="00FD08F5">
        <w:rPr>
          <w:sz w:val="24"/>
          <w:szCs w:val="24"/>
        </w:rPr>
        <w:t xml:space="preserve">, no later than 7 days before the date of publication. </w:t>
      </w:r>
    </w:p>
    <w:p w14:paraId="6A5F6504" w14:textId="77777777" w:rsidR="001B0841" w:rsidRPr="00FD08F5" w:rsidRDefault="001B0841" w:rsidP="00E81A98">
      <w:pPr>
        <w:pStyle w:val="NoSpacing"/>
        <w:jc w:val="both"/>
        <w:rPr>
          <w:sz w:val="24"/>
          <w:szCs w:val="24"/>
        </w:rPr>
      </w:pPr>
    </w:p>
    <w:p w14:paraId="68B32D95" w14:textId="77777777" w:rsidR="001B0841" w:rsidRPr="00FD08F5" w:rsidRDefault="001B0841" w:rsidP="00E81A98">
      <w:pPr>
        <w:pStyle w:val="NoSpacing"/>
        <w:jc w:val="both"/>
        <w:rPr>
          <w:sz w:val="24"/>
          <w:szCs w:val="24"/>
        </w:rPr>
      </w:pPr>
      <w:r w:rsidRPr="00FD08F5">
        <w:rPr>
          <w:sz w:val="24"/>
          <w:szCs w:val="24"/>
        </w:rPr>
        <w:t>The NYCC Head of S</w:t>
      </w:r>
      <w:r w:rsidR="00FD08F5">
        <w:rPr>
          <w:sz w:val="24"/>
          <w:szCs w:val="24"/>
        </w:rPr>
        <w:t>afeguarding</w:t>
      </w:r>
      <w:r w:rsidRPr="00FD08F5">
        <w:rPr>
          <w:sz w:val="24"/>
          <w:szCs w:val="24"/>
        </w:rPr>
        <w:t xml:space="preserve"> with responsibility for Youth Justice Service (YJS), will inform the NY SPRG of any cases that are considered under the Serious Incident Procedure.</w:t>
      </w:r>
    </w:p>
    <w:p w14:paraId="3CE892E2" w14:textId="77777777" w:rsidR="001B0841" w:rsidRPr="00FD08F5" w:rsidRDefault="001B0841" w:rsidP="00E81A98">
      <w:pPr>
        <w:pStyle w:val="NoSpacing"/>
        <w:jc w:val="both"/>
        <w:rPr>
          <w:sz w:val="24"/>
          <w:szCs w:val="24"/>
        </w:rPr>
      </w:pPr>
    </w:p>
    <w:p w14:paraId="4157B534" w14:textId="77777777" w:rsidR="00DF26A8" w:rsidRPr="00FD08F5" w:rsidRDefault="001B0841" w:rsidP="00E81A98">
      <w:pPr>
        <w:pStyle w:val="NoSpacing"/>
        <w:jc w:val="both"/>
        <w:rPr>
          <w:sz w:val="24"/>
          <w:szCs w:val="24"/>
        </w:rPr>
      </w:pPr>
      <w:r w:rsidRPr="00FD08F5">
        <w:rPr>
          <w:sz w:val="24"/>
          <w:szCs w:val="24"/>
        </w:rPr>
        <w:t xml:space="preserve">The NYSCP Business Unit will ensure that comprehensive minutes of all meetings are undertaken.  </w:t>
      </w:r>
    </w:p>
    <w:p w14:paraId="5CCF6235" w14:textId="77777777" w:rsidR="002F2E97" w:rsidRPr="00FD08F5" w:rsidRDefault="002F2E97" w:rsidP="001B0841">
      <w:pPr>
        <w:pStyle w:val="NoSpacing"/>
        <w:jc w:val="both"/>
        <w:rPr>
          <w:sz w:val="24"/>
          <w:szCs w:val="24"/>
        </w:rPr>
      </w:pPr>
    </w:p>
    <w:p w14:paraId="1AF76EB0" w14:textId="77777777" w:rsidR="002F2E97" w:rsidRDefault="002F2E97" w:rsidP="001B0841">
      <w:pPr>
        <w:pStyle w:val="NoSpacing"/>
        <w:jc w:val="both"/>
        <w:rPr>
          <w:b/>
          <w:color w:val="2F5496" w:themeColor="accent5" w:themeShade="BF"/>
          <w:sz w:val="24"/>
          <w:szCs w:val="24"/>
        </w:rPr>
      </w:pPr>
      <w:r w:rsidRPr="00FD08F5">
        <w:rPr>
          <w:b/>
          <w:color w:val="2F5496" w:themeColor="accent5" w:themeShade="BF"/>
          <w:sz w:val="24"/>
          <w:szCs w:val="24"/>
        </w:rPr>
        <w:t>How do you refer a case to the NY SPRG?</w:t>
      </w:r>
    </w:p>
    <w:p w14:paraId="215E0AD7" w14:textId="77777777" w:rsidR="00FD08F5" w:rsidRPr="00FD08F5" w:rsidRDefault="00FD08F5" w:rsidP="001B0841">
      <w:pPr>
        <w:pStyle w:val="NoSpacing"/>
        <w:jc w:val="both"/>
        <w:rPr>
          <w:b/>
          <w:color w:val="2F5496" w:themeColor="accent5" w:themeShade="BF"/>
          <w:sz w:val="24"/>
          <w:szCs w:val="24"/>
        </w:rPr>
      </w:pPr>
    </w:p>
    <w:p w14:paraId="2FD296B9" w14:textId="5560A554" w:rsidR="002F2E97" w:rsidRPr="00FD08F5" w:rsidRDefault="002F2E97" w:rsidP="001B0841">
      <w:pPr>
        <w:pStyle w:val="NoSpacing"/>
        <w:jc w:val="both"/>
        <w:rPr>
          <w:color w:val="auto"/>
          <w:sz w:val="24"/>
          <w:szCs w:val="24"/>
        </w:rPr>
      </w:pPr>
      <w:r w:rsidRPr="00FD08F5">
        <w:rPr>
          <w:color w:val="auto"/>
          <w:sz w:val="24"/>
          <w:szCs w:val="24"/>
        </w:rPr>
        <w:t xml:space="preserve">For cases below the level for </w:t>
      </w:r>
      <w:r w:rsidR="0020601F" w:rsidRPr="00FD08F5">
        <w:rPr>
          <w:color w:val="auto"/>
          <w:sz w:val="24"/>
          <w:szCs w:val="24"/>
        </w:rPr>
        <w:t xml:space="preserve">notification to the </w:t>
      </w:r>
      <w:r w:rsidRPr="00FD08F5">
        <w:rPr>
          <w:color w:val="auto"/>
          <w:sz w:val="24"/>
          <w:szCs w:val="24"/>
        </w:rPr>
        <w:t>CSPRP</w:t>
      </w:r>
      <w:r w:rsidR="0020601F" w:rsidRPr="00FD08F5">
        <w:rPr>
          <w:color w:val="auto"/>
          <w:sz w:val="24"/>
          <w:szCs w:val="24"/>
        </w:rPr>
        <w:t xml:space="preserve"> as a serious incident</w:t>
      </w:r>
      <w:r w:rsidRPr="00FD08F5">
        <w:rPr>
          <w:color w:val="auto"/>
          <w:sz w:val="24"/>
          <w:szCs w:val="24"/>
        </w:rPr>
        <w:t>, practitioners should submit cases for consideration by the NY SPRG via the NYSCP Business Unit using a ‘Form 1’</w:t>
      </w:r>
      <w:r w:rsidR="004F57E0" w:rsidRPr="00FD08F5">
        <w:rPr>
          <w:color w:val="auto"/>
          <w:sz w:val="24"/>
          <w:szCs w:val="24"/>
        </w:rPr>
        <w:t xml:space="preserve"> following discussion with their manager</w:t>
      </w:r>
      <w:r w:rsidRPr="00FD08F5">
        <w:rPr>
          <w:color w:val="auto"/>
          <w:sz w:val="24"/>
          <w:szCs w:val="24"/>
        </w:rPr>
        <w:t>.</w:t>
      </w:r>
      <w:r w:rsidR="004F57E0" w:rsidRPr="00FD08F5">
        <w:rPr>
          <w:color w:val="auto"/>
          <w:sz w:val="24"/>
          <w:szCs w:val="24"/>
        </w:rPr>
        <w:t xml:space="preserve">  </w:t>
      </w:r>
      <w:r w:rsidRPr="00FD08F5">
        <w:rPr>
          <w:color w:val="auto"/>
          <w:sz w:val="24"/>
          <w:szCs w:val="24"/>
        </w:rPr>
        <w:t>Practitioners</w:t>
      </w:r>
      <w:r w:rsidR="004F57E0" w:rsidRPr="00FD08F5">
        <w:rPr>
          <w:color w:val="auto"/>
          <w:sz w:val="24"/>
          <w:szCs w:val="24"/>
        </w:rPr>
        <w:t xml:space="preserve"> and managers</w:t>
      </w:r>
      <w:r w:rsidRPr="00FD08F5">
        <w:rPr>
          <w:color w:val="auto"/>
          <w:sz w:val="24"/>
          <w:szCs w:val="24"/>
        </w:rPr>
        <w:t xml:space="preserve"> can discuss cases with a  NY SPRG member prior to doing so if they are uncertain whether or not it is appropriate to submit the case.</w:t>
      </w:r>
    </w:p>
    <w:p w14:paraId="3CED0F06" w14:textId="77777777" w:rsidR="002F2E97" w:rsidRPr="00FD08F5" w:rsidRDefault="002F2E97" w:rsidP="001B0841">
      <w:pPr>
        <w:pStyle w:val="NoSpacing"/>
        <w:jc w:val="both"/>
        <w:rPr>
          <w:color w:val="auto"/>
          <w:sz w:val="24"/>
          <w:szCs w:val="24"/>
        </w:rPr>
      </w:pPr>
    </w:p>
    <w:p w14:paraId="6D662E85" w14:textId="24533A3A" w:rsidR="002F2E97" w:rsidRPr="00FD08F5" w:rsidRDefault="002F2E97" w:rsidP="001B0841">
      <w:pPr>
        <w:pStyle w:val="NoSpacing"/>
        <w:jc w:val="both"/>
        <w:rPr>
          <w:color w:val="auto"/>
          <w:sz w:val="24"/>
          <w:szCs w:val="24"/>
        </w:rPr>
      </w:pPr>
      <w:r w:rsidRPr="00FD08F5">
        <w:rPr>
          <w:color w:val="auto"/>
          <w:sz w:val="24"/>
          <w:szCs w:val="24"/>
        </w:rPr>
        <w:t xml:space="preserve">If at any </w:t>
      </w:r>
      <w:r w:rsidR="00B82DD9" w:rsidRPr="00FD08F5">
        <w:rPr>
          <w:color w:val="auto"/>
          <w:sz w:val="24"/>
          <w:szCs w:val="24"/>
        </w:rPr>
        <w:t>point the</w:t>
      </w:r>
      <w:r w:rsidRPr="00FD08F5">
        <w:rPr>
          <w:color w:val="auto"/>
          <w:sz w:val="24"/>
          <w:szCs w:val="24"/>
        </w:rPr>
        <w:t xml:space="preserve"> NY SPRG is reviewing a case they recognise from the information meets the criteria for a referral to the CSPRP, the Local Authority will be notified to enable them</w:t>
      </w:r>
      <w:r w:rsidR="00057037">
        <w:rPr>
          <w:color w:val="auto"/>
          <w:sz w:val="24"/>
          <w:szCs w:val="24"/>
        </w:rPr>
        <w:t xml:space="preserve"> to make a referral</w:t>
      </w:r>
      <w:r w:rsidRPr="00FD08F5">
        <w:rPr>
          <w:color w:val="auto"/>
          <w:sz w:val="24"/>
          <w:szCs w:val="24"/>
        </w:rPr>
        <w:t xml:space="preserve"> . </w:t>
      </w:r>
    </w:p>
    <w:p w14:paraId="0413A040" w14:textId="77777777" w:rsidR="002F2E97" w:rsidRPr="00FD08F5" w:rsidRDefault="002F2E97" w:rsidP="001B0841">
      <w:pPr>
        <w:pStyle w:val="NoSpacing"/>
        <w:jc w:val="both"/>
        <w:rPr>
          <w:color w:val="auto"/>
          <w:sz w:val="24"/>
          <w:szCs w:val="24"/>
        </w:rPr>
      </w:pPr>
    </w:p>
    <w:p w14:paraId="7FF77B82" w14:textId="77777777" w:rsidR="002F2E97" w:rsidRPr="00FD08F5" w:rsidRDefault="002F2E97" w:rsidP="001B0841">
      <w:pPr>
        <w:pStyle w:val="NoSpacing"/>
        <w:jc w:val="both"/>
        <w:rPr>
          <w:color w:val="auto"/>
          <w:sz w:val="24"/>
          <w:szCs w:val="24"/>
        </w:rPr>
      </w:pPr>
      <w:r w:rsidRPr="00FD08F5">
        <w:rPr>
          <w:color w:val="auto"/>
          <w:sz w:val="24"/>
          <w:szCs w:val="24"/>
        </w:rPr>
        <w:t>The NY SPRG will convene an Initial Case Discussion meeting where they will consider the information shared on the ‘Form 1’ and decide whether a full review should be undertaken at the next NY SPRG Meeting.</w:t>
      </w:r>
    </w:p>
    <w:p w14:paraId="544A1646" w14:textId="77777777" w:rsidR="002F2E97" w:rsidRPr="00FD08F5" w:rsidRDefault="002F2E97" w:rsidP="001B0841">
      <w:pPr>
        <w:pStyle w:val="NoSpacing"/>
        <w:jc w:val="both"/>
        <w:rPr>
          <w:color w:val="auto"/>
          <w:sz w:val="24"/>
          <w:szCs w:val="24"/>
        </w:rPr>
      </w:pPr>
    </w:p>
    <w:p w14:paraId="39455292" w14:textId="66B75944" w:rsidR="002F2E97" w:rsidRDefault="002F2E97" w:rsidP="00D279CB">
      <w:pPr>
        <w:pStyle w:val="NoSpacing"/>
        <w:jc w:val="both"/>
        <w:rPr>
          <w:rFonts w:cs="Arial"/>
          <w:sz w:val="24"/>
          <w:szCs w:val="24"/>
        </w:rPr>
      </w:pPr>
      <w:r w:rsidRPr="00FD08F5">
        <w:rPr>
          <w:color w:val="auto"/>
          <w:sz w:val="24"/>
          <w:szCs w:val="24"/>
        </w:rPr>
        <w:t xml:space="preserve">If the NY SPRG </w:t>
      </w:r>
      <w:r w:rsidR="00D279CB" w:rsidRPr="00FD08F5">
        <w:rPr>
          <w:color w:val="auto"/>
          <w:sz w:val="24"/>
          <w:szCs w:val="24"/>
        </w:rPr>
        <w:t>decided to review the case in full, the NYSCP Business Unit will collect information from all agencies involved with the child via a ‘Form 2’ which will include specific questions relevant to the case.  Once obtained, t</w:t>
      </w:r>
      <w:r w:rsidR="00D279CB" w:rsidRPr="00FD08F5">
        <w:rPr>
          <w:rFonts w:cs="Arial"/>
          <w:sz w:val="24"/>
          <w:szCs w:val="24"/>
        </w:rPr>
        <w:t>his information is combined and shared with the NY SPRG ahead of the cases full review.</w:t>
      </w:r>
    </w:p>
    <w:p w14:paraId="22E86C22" w14:textId="77777777" w:rsidR="00397EFF" w:rsidRPr="00FD08F5" w:rsidRDefault="00397EFF" w:rsidP="00D279CB">
      <w:pPr>
        <w:pStyle w:val="NoSpacing"/>
        <w:jc w:val="both"/>
        <w:rPr>
          <w:rFonts w:cs="Arial"/>
          <w:sz w:val="24"/>
          <w:szCs w:val="24"/>
        </w:rPr>
      </w:pPr>
    </w:p>
    <w:p w14:paraId="337D8E65" w14:textId="77777777" w:rsidR="004F57E0" w:rsidRDefault="00D279CB" w:rsidP="00D279CB">
      <w:pPr>
        <w:spacing w:after="0" w:line="240" w:lineRule="auto"/>
        <w:jc w:val="both"/>
        <w:rPr>
          <w:rFonts w:cs="Arial"/>
          <w:b/>
          <w:sz w:val="24"/>
          <w:szCs w:val="24"/>
        </w:rPr>
      </w:pPr>
      <w:r w:rsidRPr="00FD08F5">
        <w:rPr>
          <w:rFonts w:cs="Arial"/>
          <w:sz w:val="24"/>
          <w:szCs w:val="24"/>
        </w:rPr>
        <w:t>The NYSCP Business Unit ensures that all papers are sent to NY SPRG members one week prior to meetings who ensure that they are fully briefed regarding information pertaining to cases under discussion to ensure that the NY SPRG is able to reach a decision regarding agreed outcomes.</w:t>
      </w:r>
      <w:r w:rsidRPr="00FD08F5">
        <w:rPr>
          <w:rFonts w:cs="Arial"/>
          <w:b/>
          <w:sz w:val="24"/>
          <w:szCs w:val="24"/>
        </w:rPr>
        <w:t xml:space="preserve"> </w:t>
      </w:r>
      <w:r w:rsidR="004F57E0" w:rsidRPr="00FD08F5">
        <w:rPr>
          <w:rFonts w:cs="Arial"/>
          <w:b/>
          <w:sz w:val="24"/>
          <w:szCs w:val="24"/>
        </w:rPr>
        <w:t xml:space="preserve"> </w:t>
      </w:r>
    </w:p>
    <w:p w14:paraId="72CC8CFC" w14:textId="77777777" w:rsidR="00FD08F5" w:rsidRPr="00FD08F5" w:rsidRDefault="00FD08F5" w:rsidP="00D279CB">
      <w:pPr>
        <w:spacing w:after="0" w:line="240" w:lineRule="auto"/>
        <w:jc w:val="both"/>
        <w:rPr>
          <w:rFonts w:cs="Arial"/>
          <w:b/>
          <w:sz w:val="24"/>
          <w:szCs w:val="24"/>
        </w:rPr>
      </w:pPr>
    </w:p>
    <w:p w14:paraId="2C4986A6" w14:textId="77777777" w:rsidR="00D279CB" w:rsidRDefault="00D279CB" w:rsidP="00D279CB">
      <w:pPr>
        <w:spacing w:after="0" w:line="240" w:lineRule="auto"/>
        <w:jc w:val="both"/>
        <w:rPr>
          <w:rFonts w:cs="Arial"/>
          <w:b/>
          <w:color w:val="2F5496" w:themeColor="accent5" w:themeShade="BF"/>
          <w:sz w:val="24"/>
          <w:szCs w:val="24"/>
        </w:rPr>
      </w:pPr>
      <w:r w:rsidRPr="00FD08F5">
        <w:rPr>
          <w:rFonts w:cs="Arial"/>
          <w:b/>
          <w:color w:val="2F5496" w:themeColor="accent5" w:themeShade="BF"/>
          <w:sz w:val="24"/>
          <w:szCs w:val="24"/>
        </w:rPr>
        <w:t>Outcomes</w:t>
      </w:r>
    </w:p>
    <w:p w14:paraId="1BBF65C0" w14:textId="77777777" w:rsidR="00FD08F5" w:rsidRPr="00FD08F5" w:rsidRDefault="00FD08F5" w:rsidP="00D279CB">
      <w:pPr>
        <w:spacing w:after="0" w:line="240" w:lineRule="auto"/>
        <w:jc w:val="both"/>
        <w:rPr>
          <w:rFonts w:cs="Arial"/>
          <w:b/>
          <w:sz w:val="24"/>
          <w:szCs w:val="24"/>
        </w:rPr>
      </w:pPr>
    </w:p>
    <w:p w14:paraId="18AF2941" w14:textId="77777777" w:rsidR="00D279CB" w:rsidRPr="00FD08F5" w:rsidRDefault="00D279CB" w:rsidP="00D279CB">
      <w:pPr>
        <w:spacing w:after="0" w:line="240" w:lineRule="auto"/>
        <w:jc w:val="both"/>
        <w:rPr>
          <w:rFonts w:cs="Arial"/>
          <w:color w:val="auto"/>
          <w:sz w:val="24"/>
          <w:szCs w:val="24"/>
        </w:rPr>
      </w:pPr>
      <w:r w:rsidRPr="00FD08F5">
        <w:rPr>
          <w:rFonts w:cs="Arial"/>
          <w:color w:val="auto"/>
          <w:sz w:val="24"/>
          <w:szCs w:val="24"/>
        </w:rPr>
        <w:t>Outcomes of case discussions within the NY SPRG can include;</w:t>
      </w:r>
    </w:p>
    <w:p w14:paraId="12CE666D" w14:textId="77777777" w:rsidR="00E81A98" w:rsidRPr="00FD08F5" w:rsidRDefault="00E81A98" w:rsidP="00D279CB">
      <w:pPr>
        <w:spacing w:after="0" w:line="240" w:lineRule="auto"/>
        <w:jc w:val="both"/>
        <w:rPr>
          <w:rFonts w:cs="Arial"/>
          <w:color w:val="auto"/>
          <w:sz w:val="24"/>
          <w:szCs w:val="24"/>
        </w:rPr>
      </w:pPr>
    </w:p>
    <w:p w14:paraId="133C25D6" w14:textId="77777777" w:rsidR="00D279CB" w:rsidRPr="00FD08F5" w:rsidRDefault="00E81A98" w:rsidP="00D279CB">
      <w:pPr>
        <w:pStyle w:val="ListParagraph"/>
        <w:numPr>
          <w:ilvl w:val="0"/>
          <w:numId w:val="15"/>
        </w:numPr>
        <w:spacing w:after="0" w:line="240" w:lineRule="auto"/>
        <w:jc w:val="both"/>
        <w:rPr>
          <w:rFonts w:cs="Arial"/>
          <w:color w:val="auto"/>
          <w:sz w:val="24"/>
          <w:szCs w:val="24"/>
        </w:rPr>
      </w:pPr>
      <w:r w:rsidRPr="00FD08F5">
        <w:rPr>
          <w:rFonts w:cs="Arial"/>
          <w:sz w:val="24"/>
          <w:szCs w:val="24"/>
        </w:rPr>
        <w:t>LCSPR</w:t>
      </w:r>
    </w:p>
    <w:p w14:paraId="05844C1A" w14:textId="77777777" w:rsidR="00D279CB" w:rsidRPr="00FD08F5" w:rsidRDefault="00D279CB" w:rsidP="00D279CB">
      <w:pPr>
        <w:pStyle w:val="ListParagraph"/>
        <w:numPr>
          <w:ilvl w:val="0"/>
          <w:numId w:val="15"/>
        </w:numPr>
        <w:spacing w:after="0" w:line="240" w:lineRule="auto"/>
        <w:jc w:val="both"/>
        <w:rPr>
          <w:rFonts w:cs="Arial"/>
          <w:color w:val="auto"/>
          <w:sz w:val="24"/>
          <w:szCs w:val="24"/>
        </w:rPr>
      </w:pPr>
      <w:r w:rsidRPr="00FD08F5">
        <w:rPr>
          <w:rFonts w:cs="Arial"/>
          <w:color w:val="auto"/>
          <w:sz w:val="24"/>
          <w:szCs w:val="24"/>
        </w:rPr>
        <w:t>Multi-agency learning reviews</w:t>
      </w:r>
    </w:p>
    <w:p w14:paraId="3F682E41" w14:textId="77777777" w:rsidR="00D279CB" w:rsidRPr="00FD08F5" w:rsidRDefault="00D279CB" w:rsidP="00D279CB">
      <w:pPr>
        <w:pStyle w:val="ListParagraph"/>
        <w:numPr>
          <w:ilvl w:val="0"/>
          <w:numId w:val="15"/>
        </w:numPr>
        <w:spacing w:after="0" w:line="240" w:lineRule="auto"/>
        <w:jc w:val="both"/>
        <w:rPr>
          <w:rFonts w:cs="Arial"/>
          <w:color w:val="auto"/>
          <w:sz w:val="24"/>
          <w:szCs w:val="24"/>
        </w:rPr>
      </w:pPr>
      <w:r w:rsidRPr="00FD08F5">
        <w:rPr>
          <w:rFonts w:cs="Arial"/>
          <w:color w:val="auto"/>
          <w:sz w:val="24"/>
          <w:szCs w:val="24"/>
        </w:rPr>
        <w:t>Single-agency learning reviews</w:t>
      </w:r>
    </w:p>
    <w:p w14:paraId="1AC33EEB" w14:textId="77777777" w:rsidR="00D279CB" w:rsidRPr="00FD08F5" w:rsidRDefault="00D279CB" w:rsidP="00D279CB">
      <w:pPr>
        <w:pStyle w:val="ListParagraph"/>
        <w:numPr>
          <w:ilvl w:val="0"/>
          <w:numId w:val="15"/>
        </w:numPr>
        <w:spacing w:after="0" w:line="240" w:lineRule="auto"/>
        <w:jc w:val="both"/>
        <w:rPr>
          <w:rFonts w:cs="Arial"/>
          <w:color w:val="auto"/>
          <w:sz w:val="24"/>
          <w:szCs w:val="24"/>
        </w:rPr>
      </w:pPr>
      <w:r w:rsidRPr="00FD08F5">
        <w:rPr>
          <w:rFonts w:cs="Arial"/>
          <w:color w:val="auto"/>
          <w:sz w:val="24"/>
          <w:szCs w:val="24"/>
        </w:rPr>
        <w:t>NYSCP 7 Point Briefings</w:t>
      </w:r>
    </w:p>
    <w:p w14:paraId="4F5185E7" w14:textId="088F1DBE" w:rsidR="00D279CB" w:rsidRDefault="00D279CB" w:rsidP="00D279CB">
      <w:pPr>
        <w:pStyle w:val="ListParagraph"/>
        <w:numPr>
          <w:ilvl w:val="0"/>
          <w:numId w:val="15"/>
        </w:numPr>
        <w:spacing w:after="0" w:line="240" w:lineRule="auto"/>
        <w:jc w:val="both"/>
        <w:rPr>
          <w:rFonts w:cs="Arial"/>
          <w:color w:val="auto"/>
          <w:sz w:val="24"/>
          <w:szCs w:val="24"/>
        </w:rPr>
      </w:pPr>
      <w:r w:rsidRPr="00FD08F5">
        <w:rPr>
          <w:rFonts w:cs="Arial"/>
          <w:color w:val="auto"/>
          <w:sz w:val="24"/>
          <w:szCs w:val="24"/>
        </w:rPr>
        <w:t>No further action</w:t>
      </w:r>
    </w:p>
    <w:p w14:paraId="7574B6B2" w14:textId="024CE57E" w:rsidR="00397EFF" w:rsidRDefault="00397EFF" w:rsidP="00397EFF">
      <w:pPr>
        <w:spacing w:after="0" w:line="240" w:lineRule="auto"/>
        <w:jc w:val="both"/>
        <w:rPr>
          <w:rFonts w:cs="Arial"/>
          <w:color w:val="auto"/>
          <w:sz w:val="24"/>
          <w:szCs w:val="24"/>
        </w:rPr>
      </w:pPr>
    </w:p>
    <w:p w14:paraId="5B0CC700" w14:textId="7C5BBEE5" w:rsidR="00397EFF" w:rsidRPr="00397EFF" w:rsidRDefault="00397EFF" w:rsidP="00397EFF">
      <w:pPr>
        <w:spacing w:after="0" w:line="240" w:lineRule="auto"/>
        <w:jc w:val="both"/>
        <w:rPr>
          <w:rFonts w:cs="Arial"/>
          <w:color w:val="auto"/>
          <w:sz w:val="24"/>
          <w:szCs w:val="24"/>
        </w:rPr>
      </w:pPr>
      <w:r w:rsidRPr="00397EFF">
        <w:rPr>
          <w:rFonts w:cs="Arial"/>
          <w:color w:val="auto"/>
          <w:sz w:val="24"/>
          <w:szCs w:val="24"/>
        </w:rPr>
        <w:t>Once a case has been reviewed and the outcomes identified, NY SPRG shares the learning points with NYSCP Learning and Improvement Subgroup (LIS). LIS develop these in to a multi-agency action plan and monitor the progression of these actions and provide assurance to NYSCP upon completion.</w:t>
      </w:r>
    </w:p>
    <w:p w14:paraId="058AC22B" w14:textId="77777777" w:rsidR="004F57E0" w:rsidRPr="00FD08F5" w:rsidRDefault="004F57E0" w:rsidP="004F57E0">
      <w:pPr>
        <w:spacing w:after="0" w:line="240" w:lineRule="auto"/>
        <w:jc w:val="both"/>
        <w:rPr>
          <w:rFonts w:cs="Arial"/>
          <w:color w:val="2F5496" w:themeColor="accent5" w:themeShade="BF"/>
          <w:sz w:val="24"/>
          <w:szCs w:val="24"/>
        </w:rPr>
      </w:pPr>
    </w:p>
    <w:p w14:paraId="37479788" w14:textId="77777777" w:rsidR="004F57E0" w:rsidRDefault="004F57E0" w:rsidP="004F57E0">
      <w:pPr>
        <w:spacing w:after="0" w:line="240" w:lineRule="auto"/>
        <w:jc w:val="both"/>
        <w:rPr>
          <w:rFonts w:cs="Arial"/>
          <w:b/>
          <w:color w:val="2F5496" w:themeColor="accent5" w:themeShade="BF"/>
          <w:sz w:val="24"/>
          <w:szCs w:val="24"/>
        </w:rPr>
      </w:pPr>
      <w:r w:rsidRPr="00FD08F5">
        <w:rPr>
          <w:rFonts w:cs="Arial"/>
          <w:b/>
          <w:color w:val="2F5496" w:themeColor="accent5" w:themeShade="BF"/>
          <w:sz w:val="24"/>
          <w:szCs w:val="24"/>
        </w:rPr>
        <w:t>Safeguarding Rapid Reviews</w:t>
      </w:r>
    </w:p>
    <w:p w14:paraId="508D00D1" w14:textId="77777777" w:rsidR="00FD08F5" w:rsidRPr="00FD08F5" w:rsidRDefault="00FD08F5" w:rsidP="004F57E0">
      <w:pPr>
        <w:spacing w:after="0" w:line="240" w:lineRule="auto"/>
        <w:jc w:val="both"/>
        <w:rPr>
          <w:rFonts w:cs="Arial"/>
          <w:b/>
          <w:color w:val="2F5496" w:themeColor="accent5" w:themeShade="BF"/>
          <w:sz w:val="24"/>
          <w:szCs w:val="24"/>
        </w:rPr>
      </w:pPr>
    </w:p>
    <w:p w14:paraId="4C65258C" w14:textId="365C89C0" w:rsidR="004F57E0" w:rsidRPr="00FD08F5" w:rsidRDefault="004F57E0" w:rsidP="004F57E0">
      <w:pPr>
        <w:spacing w:after="0" w:line="240" w:lineRule="auto"/>
        <w:jc w:val="both"/>
        <w:rPr>
          <w:rFonts w:cs="Arial"/>
          <w:color w:val="auto"/>
          <w:sz w:val="24"/>
          <w:szCs w:val="24"/>
        </w:rPr>
      </w:pPr>
      <w:r w:rsidRPr="00FD08F5">
        <w:rPr>
          <w:rFonts w:cs="Arial"/>
          <w:color w:val="auto"/>
          <w:sz w:val="24"/>
          <w:szCs w:val="24"/>
        </w:rPr>
        <w:t>For more information on the rap</w:t>
      </w:r>
      <w:r w:rsidR="00057037">
        <w:rPr>
          <w:rFonts w:cs="Arial"/>
          <w:color w:val="auto"/>
          <w:sz w:val="24"/>
          <w:szCs w:val="24"/>
        </w:rPr>
        <w:t xml:space="preserve">id review process please use this </w:t>
      </w:r>
      <w:hyperlink r:id="rId16" w:history="1">
        <w:r w:rsidR="00057037" w:rsidRPr="00057037">
          <w:rPr>
            <w:rStyle w:val="Hyperlink"/>
            <w:rFonts w:cs="Arial"/>
            <w:sz w:val="24"/>
            <w:szCs w:val="24"/>
          </w:rPr>
          <w:t>link</w:t>
        </w:r>
      </w:hyperlink>
      <w:r w:rsidR="00057037">
        <w:rPr>
          <w:rFonts w:cs="Arial"/>
          <w:color w:val="auto"/>
          <w:sz w:val="24"/>
          <w:szCs w:val="24"/>
        </w:rPr>
        <w:t xml:space="preserve">. </w:t>
      </w:r>
    </w:p>
    <w:p w14:paraId="5F5E3A9C" w14:textId="77777777" w:rsidR="004F57E0" w:rsidRPr="004F57E0" w:rsidRDefault="004F57E0" w:rsidP="004F57E0">
      <w:pPr>
        <w:spacing w:after="0" w:line="240" w:lineRule="auto"/>
        <w:jc w:val="both"/>
        <w:rPr>
          <w:rFonts w:cs="Arial"/>
          <w:color w:val="auto"/>
          <w:sz w:val="18"/>
        </w:rPr>
      </w:pPr>
    </w:p>
    <w:p w14:paraId="3CFB48D7" w14:textId="77777777" w:rsidR="004F57E0" w:rsidRPr="004F57E0" w:rsidRDefault="004F57E0" w:rsidP="004F57E0">
      <w:pPr>
        <w:spacing w:after="0" w:line="240" w:lineRule="auto"/>
        <w:jc w:val="both"/>
        <w:rPr>
          <w:rFonts w:cs="Arial"/>
          <w:color w:val="auto"/>
        </w:rPr>
      </w:pPr>
    </w:p>
    <w:sectPr w:rsidR="004F57E0" w:rsidRPr="004F57E0" w:rsidSect="00FD08F5">
      <w:type w:val="continuous"/>
      <w:pgSz w:w="11906" w:h="16838"/>
      <w:pgMar w:top="567" w:right="567" w:bottom="567" w:left="567" w:header="709" w:footer="1450" w:gutter="0"/>
      <w:cols w:num="2" w:space="84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3485" w16cex:dateUtc="2021-06-22T09:05:00Z"/>
  <w16cex:commentExtensible w16cex:durableId="247C3556" w16cex:dateUtc="2021-06-22T09:09:00Z"/>
  <w16cex:commentExtensible w16cex:durableId="247C3579" w16cex:dateUtc="2021-06-22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B81CB" w16cid:durableId="247C3485"/>
  <w16cid:commentId w16cid:paraId="6D05B472" w16cid:durableId="247C3556"/>
  <w16cid:commentId w16cid:paraId="1C5D5970" w16cid:durableId="247C3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62A" w14:textId="77777777" w:rsidR="00EF3B55" w:rsidRDefault="00EF3B55" w:rsidP="001400DB">
      <w:pPr>
        <w:spacing w:after="0" w:line="240" w:lineRule="auto"/>
      </w:pPr>
      <w:r>
        <w:separator/>
      </w:r>
    </w:p>
  </w:endnote>
  <w:endnote w:type="continuationSeparator" w:id="0">
    <w:p w14:paraId="049E86C8" w14:textId="77777777" w:rsidR="00EF3B55" w:rsidRDefault="00EF3B55" w:rsidP="001400DB">
      <w:pPr>
        <w:spacing w:after="0" w:line="240" w:lineRule="auto"/>
      </w:pPr>
      <w:r>
        <w:continuationSeparator/>
      </w:r>
    </w:p>
  </w:endnote>
  <w:endnote w:id="1">
    <w:p w14:paraId="3EE573D5" w14:textId="77777777" w:rsidR="00E81A98" w:rsidRDefault="00E81A98">
      <w:pPr>
        <w:pStyle w:val="EndnoteText"/>
      </w:pPr>
      <w:r>
        <w:rPr>
          <w:rStyle w:val="EndnoteReference"/>
        </w:rPr>
        <w:endnoteRef/>
      </w:r>
      <w:r>
        <w:t xml:space="preserve"> </w:t>
      </w:r>
      <w:hyperlink r:id="rId1" w:history="1">
        <w:r>
          <w:rPr>
            <w:rStyle w:val="Hyperlink"/>
          </w:rPr>
          <w:t>Children and Social Work Act 2017 (legislation.gov.uk)</w:t>
        </w:r>
      </w:hyperlink>
    </w:p>
    <w:p w14:paraId="03998CD2" w14:textId="77777777" w:rsidR="00E81A98" w:rsidRDefault="00E81A98">
      <w:pPr>
        <w:pStyle w:val="EndnoteText"/>
      </w:pPr>
      <w:r>
        <w:rPr>
          <w:rStyle w:val="EndnoteReference"/>
        </w:rPr>
        <w:endnoteRef/>
      </w:r>
      <w:r>
        <w:t xml:space="preserve"> </w:t>
      </w:r>
      <w:hyperlink r:id="rId2" w:history="1">
        <w:r>
          <w:rPr>
            <w:rStyle w:val="Hyperlink"/>
          </w:rPr>
          <w:t>Child Safeguarding Practice Review Panel - GOV.UK (www.gov.uk)</w:t>
        </w:r>
      </w:hyperlink>
      <w:bookmarkStart w:id="0" w:name="_GoBack"/>
      <w:bookmarkEnd w:id="0"/>
    </w:p>
  </w:endnote>
  <w:endnote w:id="2">
    <w:p w14:paraId="34BC10FB" w14:textId="77777777" w:rsidR="00E81A98" w:rsidRDefault="00E81A9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F7BD" w14:textId="77777777" w:rsidR="00D204C0" w:rsidRDefault="00D20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0EBA" w14:textId="5FF85505" w:rsidR="00D204C0" w:rsidRDefault="00D204C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3B55">
      <w:rPr>
        <w:caps/>
        <w:noProof/>
        <w:color w:val="5B9BD5" w:themeColor="accent1"/>
      </w:rPr>
      <w:t>1</w:t>
    </w:r>
    <w:r>
      <w:rPr>
        <w:caps/>
        <w:noProof/>
        <w:color w:val="5B9BD5" w:themeColor="accent1"/>
      </w:rPr>
      <w:fldChar w:fldCharType="end"/>
    </w:r>
  </w:p>
  <w:p w14:paraId="5C60AB07" w14:textId="095908CA" w:rsidR="00F56B1B" w:rsidRDefault="00D204C0">
    <w:pPr>
      <w:pStyle w:val="Footer"/>
    </w:pPr>
    <w:r>
      <w:rPr>
        <w:noProof/>
        <w14:ligatures w14:val="none"/>
        <w14:cntxtAlts w14:val="0"/>
      </w:rPr>
      <mc:AlternateContent>
        <mc:Choice Requires="wps">
          <w:drawing>
            <wp:anchor distT="0" distB="0" distL="114300" distR="114300" simplePos="0" relativeHeight="251659264" behindDoc="0" locked="0" layoutInCell="0" allowOverlap="1" wp14:anchorId="37B2DE9D" wp14:editId="3170AC87">
              <wp:simplePos x="0" y="0"/>
              <wp:positionH relativeFrom="page">
                <wp:posOffset>0</wp:posOffset>
              </wp:positionH>
              <wp:positionV relativeFrom="page">
                <wp:posOffset>10227945</wp:posOffset>
              </wp:positionV>
              <wp:extent cx="7560310" cy="273050"/>
              <wp:effectExtent l="0" t="0" r="0" b="12700"/>
              <wp:wrapNone/>
              <wp:docPr id="5" name="MSIPCM3dc242d787502295cefd580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1D330" w14:textId="5E22145C" w:rsidR="00D204C0" w:rsidRPr="00D204C0" w:rsidRDefault="00D204C0" w:rsidP="00D204C0">
                          <w:pPr>
                            <w:spacing w:after="0"/>
                            <w:jc w:val="center"/>
                            <w:rPr>
                              <w:color w:val="FF0000"/>
                            </w:rPr>
                          </w:pPr>
                          <w:r w:rsidRPr="00D204C0">
                            <w:rPr>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2DE9D" id="_x0000_t202" coordsize="21600,21600" o:spt="202" path="m,l,21600r21600,l21600,xe">
              <v:stroke joinstyle="miter"/>
              <v:path gradientshapeok="t" o:connecttype="rect"/>
            </v:shapetype>
            <v:shape id="MSIPCM3dc242d787502295cefd580b"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agFgMAADU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KBzJqA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1D51D330" w14:textId="5E22145C" w:rsidR="00D204C0" w:rsidRPr="00D204C0" w:rsidRDefault="00D204C0" w:rsidP="00D204C0">
                    <w:pPr>
                      <w:spacing w:after="0"/>
                      <w:jc w:val="center"/>
                      <w:rPr>
                        <w:color w:val="FF0000"/>
                      </w:rPr>
                    </w:pPr>
                    <w:r w:rsidRPr="00D204C0">
                      <w:rPr>
                        <w:color w:val="FF000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0604" w14:textId="77777777" w:rsidR="00D204C0" w:rsidRDefault="00D2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EE8C" w14:textId="77777777" w:rsidR="00EF3B55" w:rsidRDefault="00EF3B55" w:rsidP="001400DB">
      <w:pPr>
        <w:spacing w:after="0" w:line="240" w:lineRule="auto"/>
      </w:pPr>
      <w:r>
        <w:separator/>
      </w:r>
    </w:p>
  </w:footnote>
  <w:footnote w:type="continuationSeparator" w:id="0">
    <w:p w14:paraId="1723EB57" w14:textId="77777777" w:rsidR="00EF3B55" w:rsidRDefault="00EF3B55"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75A9" w14:textId="71F2D126" w:rsidR="00FA3814" w:rsidRDefault="00FA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002F" w14:textId="0B4E9652" w:rsidR="00FA3814" w:rsidRDefault="00FA3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513C" w14:textId="07C02908" w:rsidR="00FA3814" w:rsidRDefault="00FA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2C"/>
    <w:multiLevelType w:val="hybridMultilevel"/>
    <w:tmpl w:val="EFFA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3421"/>
    <w:multiLevelType w:val="hybridMultilevel"/>
    <w:tmpl w:val="1FA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51C60"/>
    <w:multiLevelType w:val="hybridMultilevel"/>
    <w:tmpl w:val="9ED4C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475B24"/>
    <w:multiLevelType w:val="hybridMultilevel"/>
    <w:tmpl w:val="7ADEFEA4"/>
    <w:lvl w:ilvl="0" w:tplc="BD363E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B92E6F"/>
    <w:multiLevelType w:val="hybridMultilevel"/>
    <w:tmpl w:val="A790B210"/>
    <w:lvl w:ilvl="0" w:tplc="BD363E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E12D4"/>
    <w:multiLevelType w:val="hybridMultilevel"/>
    <w:tmpl w:val="0EB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4D280A"/>
    <w:multiLevelType w:val="hybridMultilevel"/>
    <w:tmpl w:val="A8D442B4"/>
    <w:lvl w:ilvl="0" w:tplc="BD363E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10"/>
  </w:num>
  <w:num w:numId="7">
    <w:abstractNumId w:val="14"/>
  </w:num>
  <w:num w:numId="8">
    <w:abstractNumId w:val="11"/>
  </w:num>
  <w:num w:numId="9">
    <w:abstractNumId w:val="15"/>
  </w:num>
  <w:num w:numId="10">
    <w:abstractNumId w:val="3"/>
  </w:num>
  <w:num w:numId="11">
    <w:abstractNumId w:val="13"/>
  </w:num>
  <w:num w:numId="12">
    <w:abstractNumId w:val="12"/>
  </w:num>
  <w:num w:numId="13">
    <w:abstractNumId w:val="16"/>
  </w:num>
  <w:num w:numId="14">
    <w:abstractNumId w:val="5"/>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57037"/>
    <w:rsid w:val="001156DF"/>
    <w:rsid w:val="001400DB"/>
    <w:rsid w:val="001A72A1"/>
    <w:rsid w:val="001B0841"/>
    <w:rsid w:val="001B3865"/>
    <w:rsid w:val="0020601F"/>
    <w:rsid w:val="00243302"/>
    <w:rsid w:val="002B1C67"/>
    <w:rsid w:val="002E23FD"/>
    <w:rsid w:val="002F2E97"/>
    <w:rsid w:val="00397EFF"/>
    <w:rsid w:val="003C46E7"/>
    <w:rsid w:val="00446A83"/>
    <w:rsid w:val="00492167"/>
    <w:rsid w:val="004F1B06"/>
    <w:rsid w:val="004F57E0"/>
    <w:rsid w:val="00506CCB"/>
    <w:rsid w:val="005E0E74"/>
    <w:rsid w:val="00627D14"/>
    <w:rsid w:val="00644D67"/>
    <w:rsid w:val="00694922"/>
    <w:rsid w:val="006A4173"/>
    <w:rsid w:val="0078201D"/>
    <w:rsid w:val="00847B43"/>
    <w:rsid w:val="008E67DB"/>
    <w:rsid w:val="009164ED"/>
    <w:rsid w:val="009573D4"/>
    <w:rsid w:val="009B495A"/>
    <w:rsid w:val="009F031D"/>
    <w:rsid w:val="00A04BC4"/>
    <w:rsid w:val="00AB2AE7"/>
    <w:rsid w:val="00AE696B"/>
    <w:rsid w:val="00AF5898"/>
    <w:rsid w:val="00B82DD9"/>
    <w:rsid w:val="00C61626"/>
    <w:rsid w:val="00C71343"/>
    <w:rsid w:val="00C8100F"/>
    <w:rsid w:val="00CA13B3"/>
    <w:rsid w:val="00CD6082"/>
    <w:rsid w:val="00D204C0"/>
    <w:rsid w:val="00D279CB"/>
    <w:rsid w:val="00D67C2D"/>
    <w:rsid w:val="00D863CD"/>
    <w:rsid w:val="00D91A61"/>
    <w:rsid w:val="00DD3CB5"/>
    <w:rsid w:val="00DF26A8"/>
    <w:rsid w:val="00E007FC"/>
    <w:rsid w:val="00E65874"/>
    <w:rsid w:val="00E81A98"/>
    <w:rsid w:val="00EA30D0"/>
    <w:rsid w:val="00EB50AE"/>
    <w:rsid w:val="00EF3B55"/>
    <w:rsid w:val="00EF42EC"/>
    <w:rsid w:val="00F410FF"/>
    <w:rsid w:val="00F56B1B"/>
    <w:rsid w:val="00F73C1B"/>
    <w:rsid w:val="00FA3740"/>
    <w:rsid w:val="00FA3814"/>
    <w:rsid w:val="00FC12AD"/>
    <w:rsid w:val="00FD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D92B"/>
  <w15:docId w15:val="{4CEE6EDA-78C0-4908-BC47-0D84ED23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NoSpacing">
    <w:name w:val="No Spacing"/>
    <w:uiPriority w:val="1"/>
    <w:qFormat/>
    <w:rsid w:val="00DF26A8"/>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EndnoteText">
    <w:name w:val="endnote text"/>
    <w:basedOn w:val="Normal"/>
    <w:link w:val="EndnoteTextChar"/>
    <w:uiPriority w:val="99"/>
    <w:semiHidden/>
    <w:unhideWhenUsed/>
    <w:rsid w:val="00E81A98"/>
    <w:pPr>
      <w:spacing w:after="0" w:line="240" w:lineRule="auto"/>
    </w:pPr>
  </w:style>
  <w:style w:type="character" w:customStyle="1" w:styleId="EndnoteTextChar">
    <w:name w:val="Endnote Text Char"/>
    <w:basedOn w:val="DefaultParagraphFont"/>
    <w:link w:val="EndnoteText"/>
    <w:uiPriority w:val="99"/>
    <w:semiHidden/>
    <w:rsid w:val="00E81A98"/>
    <w:rPr>
      <w:rFonts w:ascii="Calibri" w:eastAsia="Times New Roman" w:hAnsi="Calibri" w:cs="Times New Roman"/>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E81A98"/>
    <w:rPr>
      <w:vertAlign w:val="superscript"/>
    </w:rPr>
  </w:style>
  <w:style w:type="paragraph" w:styleId="BalloonText">
    <w:name w:val="Balloon Text"/>
    <w:basedOn w:val="Normal"/>
    <w:link w:val="BalloonTextChar"/>
    <w:uiPriority w:val="99"/>
    <w:semiHidden/>
    <w:unhideWhenUsed/>
    <w:rsid w:val="0020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1F"/>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CD6082"/>
    <w:rPr>
      <w:sz w:val="16"/>
      <w:szCs w:val="16"/>
    </w:rPr>
  </w:style>
  <w:style w:type="paragraph" w:styleId="CommentText">
    <w:name w:val="annotation text"/>
    <w:basedOn w:val="Normal"/>
    <w:link w:val="CommentTextChar"/>
    <w:uiPriority w:val="99"/>
    <w:semiHidden/>
    <w:unhideWhenUsed/>
    <w:rsid w:val="00CD6082"/>
    <w:pPr>
      <w:spacing w:line="240" w:lineRule="auto"/>
    </w:pPr>
  </w:style>
  <w:style w:type="character" w:customStyle="1" w:styleId="CommentTextChar">
    <w:name w:val="Comment Text Char"/>
    <w:basedOn w:val="DefaultParagraphFont"/>
    <w:link w:val="CommentText"/>
    <w:uiPriority w:val="99"/>
    <w:semiHidden/>
    <w:rsid w:val="00CD6082"/>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CD6082"/>
    <w:rPr>
      <w:b/>
      <w:bCs/>
    </w:rPr>
  </w:style>
  <w:style w:type="character" w:customStyle="1" w:styleId="CommentSubjectChar">
    <w:name w:val="Comment Subject Char"/>
    <w:basedOn w:val="CommentTextChar"/>
    <w:link w:val="CommentSubject"/>
    <w:uiPriority w:val="99"/>
    <w:semiHidden/>
    <w:rsid w:val="00CD6082"/>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469397873">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guardingchildren.co.uk/professionals/one-minute-guid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organisations/child-safeguarding-practice-review-panel" TargetMode="External"/><Relationship Id="rId1" Type="http://schemas.openxmlformats.org/officeDocument/2006/relationships/hyperlink" Target="https://www.legislation.gov.uk/ukpga/2017/16/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206E-A726-4F67-852D-4C105CA8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Ali Firby</cp:lastModifiedBy>
  <cp:revision>4</cp:revision>
  <dcterms:created xsi:type="dcterms:W3CDTF">2021-06-24T14:39:00Z</dcterms:created>
  <dcterms:modified xsi:type="dcterms:W3CDTF">2021-07-01T07:18:00Z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2021-06-14T13:48:35Z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5d92b45f-5c2b-46e5-b0cb-000093c300f2</vt:lpwstr>
  </property>
  <property fmtid="{D5CDD505-2E9C-101B-9397-08002B2CF9AE}" pid="8" name="MSIP_Label_13f27b87-3675-4fb5-85ad-fce3efd3a6b0_ContentBits">
    <vt:lpwstr>2</vt:lpwstr>
  </property>
</Properties>
</file>