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0FA2B" w14:textId="77777777" w:rsidR="00C61626" w:rsidRDefault="004D7F22"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40C625D" wp14:editId="4A268557">
            <wp:simplePos x="0" y="0"/>
            <wp:positionH relativeFrom="margin">
              <wp:posOffset>163195</wp:posOffset>
            </wp:positionH>
            <wp:positionV relativeFrom="paragraph">
              <wp:posOffset>-176781</wp:posOffset>
            </wp:positionV>
            <wp:extent cx="2928867" cy="63042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867" cy="63042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14:anchorId="42D6489A" wp14:editId="31AC084C">
                <wp:simplePos x="0" y="0"/>
                <wp:positionH relativeFrom="column">
                  <wp:posOffset>3148699</wp:posOffset>
                </wp:positionH>
                <wp:positionV relativeFrom="paragraph">
                  <wp:posOffset>-371239</wp:posOffset>
                </wp:positionV>
                <wp:extent cx="3691890" cy="1012692"/>
                <wp:effectExtent l="0" t="0" r="22860" b="16510"/>
                <wp:wrapNone/>
                <wp:docPr id="4" name="Text Box 4"/>
                <wp:cNvGraphicFramePr/>
                <a:graphic xmlns:a="http://schemas.openxmlformats.org/drawingml/2006/main">
                  <a:graphicData uri="http://schemas.microsoft.com/office/word/2010/wordprocessingShape">
                    <wps:wsp>
                      <wps:cNvSpPr txBox="1"/>
                      <wps:spPr>
                        <a:xfrm>
                          <a:off x="0" y="0"/>
                          <a:ext cx="3691890" cy="1012692"/>
                        </a:xfrm>
                        <a:prstGeom prst="rect">
                          <a:avLst/>
                        </a:prstGeom>
                        <a:solidFill>
                          <a:schemeClr val="lt1"/>
                        </a:solidFill>
                        <a:ln w="6350">
                          <a:solidFill>
                            <a:schemeClr val="bg1"/>
                          </a:solidFill>
                        </a:ln>
                      </wps:spPr>
                      <wps:txbx>
                        <w:txbxContent>
                          <w:p w14:paraId="7974AE98" w14:textId="77777777" w:rsidR="00D863CD" w:rsidRPr="003C46E7" w:rsidRDefault="00D863CD" w:rsidP="00D863CD">
                            <w:pPr>
                              <w:spacing w:after="0" w:line="240" w:lineRule="auto"/>
                              <w:jc w:val="center"/>
                              <w:rPr>
                                <w:sz w:val="2"/>
                                <w:szCs w:val="48"/>
                              </w:rPr>
                            </w:pPr>
                          </w:p>
                          <w:p w14:paraId="0C5AF602" w14:textId="77777777" w:rsidR="004D7F22" w:rsidRDefault="00026C87" w:rsidP="004D7F22">
                            <w:pPr>
                              <w:spacing w:after="0" w:line="240" w:lineRule="auto"/>
                              <w:jc w:val="center"/>
                              <w:rPr>
                                <w:b/>
                                <w:color w:val="2F5496" w:themeColor="accent5" w:themeShade="BF"/>
                                <w:sz w:val="40"/>
                                <w:szCs w:val="48"/>
                              </w:rPr>
                            </w:pPr>
                            <w:r w:rsidRPr="004D7F22">
                              <w:rPr>
                                <w:b/>
                                <w:color w:val="2F5496" w:themeColor="accent5" w:themeShade="BF"/>
                                <w:sz w:val="40"/>
                                <w:szCs w:val="48"/>
                              </w:rPr>
                              <w:t xml:space="preserve">Child </w:t>
                            </w:r>
                            <w:r w:rsidR="00653CA6" w:rsidRPr="004D7F22">
                              <w:rPr>
                                <w:b/>
                                <w:color w:val="2F5496" w:themeColor="accent5" w:themeShade="BF"/>
                                <w:sz w:val="40"/>
                                <w:szCs w:val="48"/>
                              </w:rPr>
                              <w:t xml:space="preserve">Safeguarding Rapid </w:t>
                            </w:r>
                          </w:p>
                          <w:p w14:paraId="189C56B6" w14:textId="77777777" w:rsidR="00847B43" w:rsidRPr="004D7F22" w:rsidRDefault="00653CA6" w:rsidP="004D7F22">
                            <w:pPr>
                              <w:spacing w:after="0" w:line="240" w:lineRule="auto"/>
                              <w:jc w:val="center"/>
                              <w:rPr>
                                <w:b/>
                                <w:color w:val="2F5496" w:themeColor="accent5" w:themeShade="BF"/>
                                <w:sz w:val="40"/>
                                <w:szCs w:val="48"/>
                              </w:rPr>
                            </w:pPr>
                            <w:r w:rsidRPr="004D7F22">
                              <w:rPr>
                                <w:b/>
                                <w:color w:val="2F5496" w:themeColor="accent5" w:themeShade="BF"/>
                                <w:sz w:val="40"/>
                                <w:szCs w:val="48"/>
                              </w:rPr>
                              <w:t>Review Process</w:t>
                            </w:r>
                          </w:p>
                          <w:p w14:paraId="40B74F7F" w14:textId="77777777" w:rsidR="00D67C2D" w:rsidRPr="004D7F22" w:rsidRDefault="00653CA6" w:rsidP="004D7F22">
                            <w:pPr>
                              <w:spacing w:after="0" w:line="240" w:lineRule="auto"/>
                              <w:jc w:val="center"/>
                              <w:rPr>
                                <w:b/>
                                <w:color w:val="0070C0"/>
                                <w:sz w:val="8"/>
                                <w:szCs w:val="48"/>
                              </w:rPr>
                            </w:pPr>
                            <w:r w:rsidRPr="004D7F22">
                              <w:rPr>
                                <w:b/>
                                <w:color w:val="FF6600"/>
                                <w:sz w:val="28"/>
                                <w:szCs w:val="48"/>
                              </w:rPr>
                              <w:t>June 2021</w:t>
                            </w:r>
                          </w:p>
                          <w:p w14:paraId="53718AA3" w14:textId="77777777" w:rsidR="00D67C2D" w:rsidRPr="003C46E7" w:rsidRDefault="00D67C2D" w:rsidP="00653CA6">
                            <w:pPr>
                              <w:spacing w:after="0" w:line="240" w:lineRule="auto"/>
                              <w:jc w:val="right"/>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489A" id="_x0000_t202" coordsize="21600,21600" o:spt="202" path="m,l,21600r21600,l21600,xe">
                <v:stroke joinstyle="miter"/>
                <v:path gradientshapeok="t" o:connecttype="rect"/>
              </v:shapetype>
              <v:shape id="Text Box 4" o:spid="_x0000_s1026" type="#_x0000_t202" style="position:absolute;margin-left:247.95pt;margin-top:-29.25pt;width:290.7pt;height: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" fillcolor="white [3201]" strokecolor="white [3212]" strokeweight=".5pt">
                <v:textbox>
                  <w:txbxContent>
                    <w:p w14:paraId="7974AE98" w14:textId="77777777" w:rsidR="00D863CD" w:rsidRPr="003C46E7" w:rsidRDefault="00D863CD" w:rsidP="00D863CD">
                      <w:pPr>
                        <w:spacing w:after="0" w:line="240" w:lineRule="auto"/>
                        <w:jc w:val="center"/>
                        <w:rPr>
                          <w:sz w:val="2"/>
                          <w:szCs w:val="48"/>
                        </w:rPr>
                      </w:pPr>
                    </w:p>
                    <w:p w14:paraId="0C5AF602" w14:textId="77777777" w:rsidR="004D7F22" w:rsidRDefault="00026C87" w:rsidP="004D7F22">
                      <w:pPr>
                        <w:spacing w:after="0" w:line="240" w:lineRule="auto"/>
                        <w:jc w:val="center"/>
                        <w:rPr>
                          <w:b/>
                          <w:color w:val="2F5496" w:themeColor="accent5" w:themeShade="BF"/>
                          <w:sz w:val="40"/>
                          <w:szCs w:val="48"/>
                        </w:rPr>
                      </w:pPr>
                      <w:r w:rsidRPr="004D7F22">
                        <w:rPr>
                          <w:b/>
                          <w:color w:val="2F5496" w:themeColor="accent5" w:themeShade="BF"/>
                          <w:sz w:val="40"/>
                          <w:szCs w:val="48"/>
                        </w:rPr>
                        <w:t xml:space="preserve">Child </w:t>
                      </w:r>
                      <w:r w:rsidR="00653CA6" w:rsidRPr="004D7F22">
                        <w:rPr>
                          <w:b/>
                          <w:color w:val="2F5496" w:themeColor="accent5" w:themeShade="BF"/>
                          <w:sz w:val="40"/>
                          <w:szCs w:val="48"/>
                        </w:rPr>
                        <w:t xml:space="preserve">Safeguarding Rapid </w:t>
                      </w:r>
                    </w:p>
                    <w:p w14:paraId="189C56B6" w14:textId="77777777" w:rsidR="00847B43" w:rsidRPr="004D7F22" w:rsidRDefault="00653CA6" w:rsidP="004D7F22">
                      <w:pPr>
                        <w:spacing w:after="0" w:line="240" w:lineRule="auto"/>
                        <w:jc w:val="center"/>
                        <w:rPr>
                          <w:b/>
                          <w:color w:val="2F5496" w:themeColor="accent5" w:themeShade="BF"/>
                          <w:sz w:val="40"/>
                          <w:szCs w:val="48"/>
                        </w:rPr>
                      </w:pPr>
                      <w:r w:rsidRPr="004D7F22">
                        <w:rPr>
                          <w:b/>
                          <w:color w:val="2F5496" w:themeColor="accent5" w:themeShade="BF"/>
                          <w:sz w:val="40"/>
                          <w:szCs w:val="48"/>
                        </w:rPr>
                        <w:t>Review Process</w:t>
                      </w:r>
                    </w:p>
                    <w:p w14:paraId="40B74F7F" w14:textId="77777777" w:rsidR="00D67C2D" w:rsidRPr="004D7F22" w:rsidRDefault="00653CA6" w:rsidP="004D7F22">
                      <w:pPr>
                        <w:spacing w:after="0" w:line="240" w:lineRule="auto"/>
                        <w:jc w:val="center"/>
                        <w:rPr>
                          <w:b/>
                          <w:color w:val="0070C0"/>
                          <w:sz w:val="8"/>
                          <w:szCs w:val="48"/>
                        </w:rPr>
                      </w:pPr>
                      <w:r w:rsidRPr="004D7F22">
                        <w:rPr>
                          <w:b/>
                          <w:color w:val="FF6600"/>
                          <w:sz w:val="28"/>
                          <w:szCs w:val="48"/>
                        </w:rPr>
                        <w:t>June 2021</w:t>
                      </w:r>
                    </w:p>
                    <w:p w14:paraId="53718AA3" w14:textId="77777777" w:rsidR="00D67C2D" w:rsidRPr="003C46E7" w:rsidRDefault="00D67C2D" w:rsidP="00653CA6">
                      <w:pPr>
                        <w:spacing w:after="0" w:line="240" w:lineRule="auto"/>
                        <w:jc w:val="right"/>
                        <w:rPr>
                          <w:b/>
                          <w:color w:val="0070C0"/>
                          <w:sz w:val="2"/>
                          <w:szCs w:val="48"/>
                        </w:rPr>
                      </w:pPr>
                    </w:p>
                  </w:txbxContent>
                </v:textbox>
              </v:shape>
            </w:pict>
          </mc:Fallback>
        </mc:AlternateContent>
      </w:r>
    </w:p>
    <w:p w14:paraId="6CBA1511" w14:textId="77777777" w:rsidR="00C61626" w:rsidRDefault="00C61626" w:rsidP="00D863CD">
      <w:pPr>
        <w:spacing w:after="0"/>
        <w:rPr>
          <w:rFonts w:ascii="Arial" w:hAnsi="Arial" w:cs="Arial"/>
        </w:rPr>
      </w:pPr>
    </w:p>
    <w:p w14:paraId="39C71806" w14:textId="77777777" w:rsidR="00D863CD" w:rsidRPr="00FF7544" w:rsidRDefault="00D863CD" w:rsidP="00D863CD">
      <w:pPr>
        <w:spacing w:after="0"/>
        <w:rPr>
          <w:rFonts w:ascii="Arial" w:hAnsi="Arial" w:cs="Arial"/>
        </w:rPr>
      </w:pPr>
    </w:p>
    <w:p w14:paraId="25F178EB" w14:textId="77777777"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FC728F9" wp14:editId="067B9860">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B900240"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28F9"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14:paraId="4B900240" w14:textId="77777777"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14:paraId="3BB8A7F0" w14:textId="77777777"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4E914C07" wp14:editId="371E8861">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2962B0EE" wp14:editId="4A2A5D12">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0F707D" w14:textId="77777777" w:rsidR="00D863CD" w:rsidRPr="00FF7544" w:rsidRDefault="00D863CD" w:rsidP="00D863CD">
      <w:pPr>
        <w:rPr>
          <w:rFonts w:ascii="Arial" w:hAnsi="Arial" w:cs="Arial"/>
        </w:rPr>
        <w:sectPr w:rsidR="00D863CD" w:rsidRPr="00FF7544"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14:paraId="095B3E22" w14:textId="77777777" w:rsidR="00D863CD" w:rsidRPr="00FF7544" w:rsidRDefault="00D863CD" w:rsidP="00D863CD">
      <w:pPr>
        <w:rPr>
          <w:rFonts w:ascii="Arial" w:hAnsi="Arial" w:cs="Arial"/>
        </w:rPr>
      </w:pPr>
    </w:p>
    <w:p w14:paraId="0C6B6636" w14:textId="77777777"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14:paraId="0F3CE084" w14:textId="77777777" w:rsidR="00026C87" w:rsidRDefault="00026C87" w:rsidP="00653CA6">
      <w:pPr>
        <w:pStyle w:val="NoSpacing"/>
        <w:jc w:val="both"/>
        <w:rPr>
          <w:b/>
          <w:color w:val="2F5496" w:themeColor="accent5" w:themeShade="BF"/>
          <w:sz w:val="24"/>
          <w:szCs w:val="24"/>
        </w:rPr>
      </w:pPr>
      <w:r w:rsidRPr="004D7F22">
        <w:rPr>
          <w:b/>
          <w:color w:val="2F5496" w:themeColor="accent5" w:themeShade="BF"/>
          <w:sz w:val="24"/>
          <w:szCs w:val="24"/>
        </w:rPr>
        <w:t>What is a Child Safeguarding Rapid Review?</w:t>
      </w:r>
    </w:p>
    <w:p w14:paraId="2D7DD297" w14:textId="77777777" w:rsidR="004D7F22" w:rsidRPr="004D7F22" w:rsidRDefault="004D7F22" w:rsidP="00653CA6">
      <w:pPr>
        <w:pStyle w:val="NoSpacing"/>
        <w:jc w:val="both"/>
        <w:rPr>
          <w:b/>
          <w:color w:val="2F5496" w:themeColor="accent5" w:themeShade="BF"/>
          <w:sz w:val="24"/>
          <w:szCs w:val="24"/>
        </w:rPr>
      </w:pPr>
    </w:p>
    <w:p w14:paraId="4F04ABE5" w14:textId="532CFF92" w:rsidR="00026C87" w:rsidRPr="004D7F22" w:rsidRDefault="00026C87" w:rsidP="00653CA6">
      <w:pPr>
        <w:pStyle w:val="NoSpacing"/>
        <w:jc w:val="both"/>
        <w:rPr>
          <w:color w:val="auto"/>
          <w:sz w:val="24"/>
          <w:szCs w:val="24"/>
        </w:rPr>
      </w:pPr>
      <w:r w:rsidRPr="004D7F22">
        <w:rPr>
          <w:color w:val="auto"/>
          <w:sz w:val="24"/>
          <w:szCs w:val="24"/>
        </w:rPr>
        <w:t>It is the multiagency review of a case that is carried out in response to a serious child safeguarding incident</w:t>
      </w:r>
    </w:p>
    <w:p w14:paraId="01433D26" w14:textId="77777777" w:rsidR="004D7F22" w:rsidRPr="004D7F22" w:rsidRDefault="004D7F22" w:rsidP="00653CA6">
      <w:pPr>
        <w:pStyle w:val="NoSpacing"/>
        <w:jc w:val="both"/>
        <w:rPr>
          <w:color w:val="auto"/>
          <w:sz w:val="24"/>
          <w:szCs w:val="24"/>
        </w:rPr>
      </w:pPr>
    </w:p>
    <w:p w14:paraId="0B8D7CD3" w14:textId="77777777" w:rsidR="00653CA6" w:rsidRPr="004D7F22" w:rsidRDefault="00026C87" w:rsidP="00653CA6">
      <w:pPr>
        <w:pStyle w:val="NoSpacing"/>
        <w:jc w:val="both"/>
        <w:rPr>
          <w:color w:val="auto"/>
          <w:sz w:val="24"/>
          <w:szCs w:val="24"/>
        </w:rPr>
      </w:pPr>
      <w:r w:rsidRPr="004D7F22">
        <w:rPr>
          <w:color w:val="auto"/>
          <w:sz w:val="24"/>
          <w:szCs w:val="24"/>
        </w:rPr>
        <w:t>T</w:t>
      </w:r>
      <w:r w:rsidR="00653CA6" w:rsidRPr="004D7F22">
        <w:rPr>
          <w:color w:val="auto"/>
          <w:sz w:val="24"/>
          <w:szCs w:val="24"/>
        </w:rPr>
        <w:t>he Child Safeguarding Practice Review Panel (CSPRP)</w:t>
      </w:r>
      <w:r w:rsidR="007A7D55" w:rsidRPr="004D7F22">
        <w:rPr>
          <w:rStyle w:val="EndnoteReference"/>
          <w:color w:val="auto"/>
          <w:sz w:val="24"/>
          <w:szCs w:val="24"/>
        </w:rPr>
        <w:endnoteReference w:id="1"/>
      </w:r>
      <w:r w:rsidR="00653CA6" w:rsidRPr="004D7F22">
        <w:rPr>
          <w:color w:val="auto"/>
          <w:sz w:val="24"/>
          <w:szCs w:val="24"/>
        </w:rPr>
        <w:t xml:space="preserve"> requires safeguarding partners to promptly undertake a 15 day rapid review on all cases that meet the criteria and are notified </w:t>
      </w:r>
      <w:r w:rsidR="006A2C66" w:rsidRPr="004D7F22">
        <w:rPr>
          <w:color w:val="auto"/>
          <w:sz w:val="24"/>
          <w:szCs w:val="24"/>
        </w:rPr>
        <w:t xml:space="preserve">as </w:t>
      </w:r>
      <w:r w:rsidR="00653CA6" w:rsidRPr="004D7F22">
        <w:rPr>
          <w:color w:val="auto"/>
          <w:sz w:val="24"/>
          <w:szCs w:val="24"/>
        </w:rPr>
        <w:t>serious incidents</w:t>
      </w:r>
      <w:r w:rsidR="006A2C66" w:rsidRPr="004D7F22">
        <w:rPr>
          <w:color w:val="auto"/>
          <w:sz w:val="24"/>
          <w:szCs w:val="24"/>
        </w:rPr>
        <w:t>.</w:t>
      </w:r>
    </w:p>
    <w:p w14:paraId="4DFA6FF6" w14:textId="77777777" w:rsidR="006A2C66" w:rsidRPr="004D7F22" w:rsidRDefault="006A2C66" w:rsidP="00653CA6">
      <w:pPr>
        <w:pStyle w:val="NoSpacing"/>
        <w:jc w:val="both"/>
        <w:rPr>
          <w:color w:val="2F5496" w:themeColor="accent5" w:themeShade="BF"/>
          <w:sz w:val="24"/>
          <w:szCs w:val="24"/>
        </w:rPr>
      </w:pPr>
    </w:p>
    <w:p w14:paraId="1BA61662" w14:textId="77777777" w:rsidR="00E07015" w:rsidRDefault="00E07015" w:rsidP="00653CA6">
      <w:pPr>
        <w:pStyle w:val="NoSpacing"/>
        <w:jc w:val="both"/>
        <w:rPr>
          <w:b/>
          <w:color w:val="2F5496" w:themeColor="accent5" w:themeShade="BF"/>
          <w:sz w:val="24"/>
          <w:szCs w:val="24"/>
        </w:rPr>
      </w:pPr>
      <w:r w:rsidRPr="004D7F22">
        <w:rPr>
          <w:b/>
          <w:color w:val="2F5496" w:themeColor="accent5" w:themeShade="BF"/>
          <w:sz w:val="24"/>
          <w:szCs w:val="24"/>
        </w:rPr>
        <w:t>What is a ‘serious incident’?</w:t>
      </w:r>
    </w:p>
    <w:p w14:paraId="4DB57FDF" w14:textId="77777777" w:rsidR="004D7F22" w:rsidRPr="004D7F22" w:rsidRDefault="004D7F22" w:rsidP="00653CA6">
      <w:pPr>
        <w:pStyle w:val="NoSpacing"/>
        <w:jc w:val="both"/>
        <w:rPr>
          <w:b/>
          <w:color w:val="2F5496" w:themeColor="accent5" w:themeShade="BF"/>
          <w:sz w:val="24"/>
          <w:szCs w:val="24"/>
        </w:rPr>
      </w:pPr>
    </w:p>
    <w:p w14:paraId="46F778C9" w14:textId="77777777" w:rsidR="00653CA6" w:rsidRPr="004D7F22" w:rsidRDefault="006A2C66" w:rsidP="00653CA6">
      <w:pPr>
        <w:pStyle w:val="NoSpacing"/>
        <w:jc w:val="both"/>
        <w:rPr>
          <w:color w:val="auto"/>
          <w:sz w:val="24"/>
          <w:szCs w:val="24"/>
        </w:rPr>
      </w:pPr>
      <w:r w:rsidRPr="004D7F22">
        <w:rPr>
          <w:color w:val="auto"/>
          <w:sz w:val="24"/>
          <w:szCs w:val="24"/>
        </w:rPr>
        <w:t>S</w:t>
      </w:r>
      <w:r w:rsidR="00653CA6" w:rsidRPr="004D7F22">
        <w:rPr>
          <w:color w:val="auto"/>
          <w:sz w:val="24"/>
          <w:szCs w:val="24"/>
        </w:rPr>
        <w:t>erious incident cases are those in which:</w:t>
      </w:r>
    </w:p>
    <w:p w14:paraId="1EE18AA4" w14:textId="77777777" w:rsidR="00653CA6" w:rsidRPr="004D7F22" w:rsidRDefault="00653CA6" w:rsidP="00653CA6">
      <w:pPr>
        <w:pStyle w:val="NoSpacing"/>
        <w:jc w:val="both"/>
        <w:rPr>
          <w:color w:val="auto"/>
          <w:sz w:val="24"/>
          <w:szCs w:val="24"/>
        </w:rPr>
      </w:pPr>
    </w:p>
    <w:p w14:paraId="4D908454" w14:textId="77777777" w:rsidR="00653CA6" w:rsidRPr="004D7F22" w:rsidRDefault="00653CA6" w:rsidP="00653CA6">
      <w:pPr>
        <w:pStyle w:val="NoSpacing"/>
        <w:numPr>
          <w:ilvl w:val="0"/>
          <w:numId w:val="12"/>
        </w:numPr>
        <w:jc w:val="both"/>
        <w:rPr>
          <w:color w:val="auto"/>
          <w:sz w:val="24"/>
          <w:szCs w:val="24"/>
        </w:rPr>
      </w:pPr>
      <w:r w:rsidRPr="004D7F22">
        <w:rPr>
          <w:color w:val="auto"/>
          <w:sz w:val="24"/>
          <w:szCs w:val="24"/>
        </w:rPr>
        <w:t xml:space="preserve">abuse or neglect of a child is known or suspected and </w:t>
      </w:r>
    </w:p>
    <w:p w14:paraId="3C3160AF" w14:textId="77777777" w:rsidR="00653CA6" w:rsidRPr="004D7F22" w:rsidRDefault="00653CA6" w:rsidP="00653CA6">
      <w:pPr>
        <w:pStyle w:val="NoSpacing"/>
        <w:numPr>
          <w:ilvl w:val="0"/>
          <w:numId w:val="12"/>
        </w:numPr>
        <w:jc w:val="both"/>
        <w:rPr>
          <w:color w:val="auto"/>
          <w:sz w:val="24"/>
          <w:szCs w:val="24"/>
        </w:rPr>
      </w:pPr>
      <w:r w:rsidRPr="004D7F22">
        <w:rPr>
          <w:color w:val="auto"/>
          <w:sz w:val="24"/>
          <w:szCs w:val="24"/>
        </w:rPr>
        <w:t>the child has died or been seriously harmed</w:t>
      </w:r>
    </w:p>
    <w:p w14:paraId="4D56EF11" w14:textId="77777777" w:rsidR="00653CA6" w:rsidRPr="004D7F22" w:rsidRDefault="00653CA6" w:rsidP="00653CA6">
      <w:pPr>
        <w:pStyle w:val="NoSpacing"/>
        <w:ind w:left="720"/>
        <w:jc w:val="both"/>
        <w:rPr>
          <w:color w:val="auto"/>
          <w:sz w:val="24"/>
          <w:szCs w:val="24"/>
        </w:rPr>
      </w:pPr>
    </w:p>
    <w:p w14:paraId="1B1E42AF" w14:textId="77777777" w:rsidR="00653CA6" w:rsidRPr="004D7F22" w:rsidRDefault="00653CA6" w:rsidP="00653CA6">
      <w:pPr>
        <w:pStyle w:val="NoSpacing"/>
        <w:jc w:val="both"/>
        <w:rPr>
          <w:color w:val="auto"/>
          <w:sz w:val="24"/>
          <w:szCs w:val="24"/>
        </w:rPr>
      </w:pPr>
      <w:r w:rsidRPr="004D7F22">
        <w:rPr>
          <w:color w:val="auto"/>
          <w:sz w:val="24"/>
          <w:szCs w:val="24"/>
        </w:rPr>
        <w:t xml:space="preserve">Serious harm includes (but is not limited to) serious and/or long-term impairment of a child’s mental health or intellectual, emotional, social or behavioural development. It </w:t>
      </w:r>
    </w:p>
    <w:p w14:paraId="72F0EF70" w14:textId="77777777" w:rsidR="00653CA6" w:rsidRPr="004D7F22" w:rsidRDefault="00653CA6" w:rsidP="00653CA6">
      <w:pPr>
        <w:pStyle w:val="NoSpacing"/>
        <w:jc w:val="both"/>
        <w:rPr>
          <w:color w:val="auto"/>
          <w:sz w:val="24"/>
          <w:szCs w:val="24"/>
        </w:rPr>
      </w:pPr>
      <w:r w:rsidRPr="004D7F22">
        <w:rPr>
          <w:color w:val="auto"/>
          <w:sz w:val="24"/>
          <w:szCs w:val="24"/>
        </w:rPr>
        <w:t>should also cover impairment of physical health. When making decisions, judgment should be exercised in cases where impairment is likely to be long-term, even if this is not immediately certain. Even if a child recovers, including from a one-off incident, serious harm may still have occurred.</w:t>
      </w:r>
    </w:p>
    <w:p w14:paraId="201EA0EA" w14:textId="77777777" w:rsidR="00653CA6" w:rsidRPr="004D7F22" w:rsidRDefault="00653CA6" w:rsidP="00653CA6">
      <w:pPr>
        <w:pStyle w:val="NoSpacing"/>
        <w:jc w:val="both"/>
        <w:rPr>
          <w:b/>
          <w:color w:val="2F5496" w:themeColor="accent5" w:themeShade="BF"/>
          <w:sz w:val="24"/>
          <w:szCs w:val="24"/>
        </w:rPr>
      </w:pPr>
    </w:p>
    <w:p w14:paraId="520FE2FC" w14:textId="77777777" w:rsidR="00E07015" w:rsidRDefault="00E07015" w:rsidP="00653CA6">
      <w:pPr>
        <w:pStyle w:val="NoSpacing"/>
        <w:jc w:val="both"/>
        <w:rPr>
          <w:b/>
          <w:color w:val="2F5496" w:themeColor="accent5" w:themeShade="BF"/>
          <w:sz w:val="24"/>
          <w:szCs w:val="24"/>
        </w:rPr>
      </w:pPr>
      <w:r w:rsidRPr="004D7F22">
        <w:rPr>
          <w:b/>
          <w:color w:val="2F5496" w:themeColor="accent5" w:themeShade="BF"/>
          <w:sz w:val="24"/>
          <w:szCs w:val="24"/>
        </w:rPr>
        <w:t xml:space="preserve">Who is responsible for notification to the CSPRP? </w:t>
      </w:r>
    </w:p>
    <w:p w14:paraId="4683BD4E" w14:textId="77777777" w:rsidR="004D7F22" w:rsidRPr="004D7F22" w:rsidRDefault="004D7F22" w:rsidP="00653CA6">
      <w:pPr>
        <w:pStyle w:val="NoSpacing"/>
        <w:jc w:val="both"/>
        <w:rPr>
          <w:b/>
          <w:color w:val="2F5496" w:themeColor="accent5" w:themeShade="BF"/>
          <w:sz w:val="24"/>
          <w:szCs w:val="24"/>
        </w:rPr>
      </w:pPr>
    </w:p>
    <w:p w14:paraId="4702386B" w14:textId="77777777" w:rsidR="00653CA6" w:rsidRPr="004D7F22" w:rsidRDefault="00653CA6" w:rsidP="00653CA6">
      <w:pPr>
        <w:pStyle w:val="NoSpacing"/>
        <w:jc w:val="both"/>
        <w:rPr>
          <w:color w:val="auto"/>
          <w:sz w:val="24"/>
          <w:szCs w:val="24"/>
        </w:rPr>
      </w:pPr>
      <w:r w:rsidRPr="004D7F22">
        <w:rPr>
          <w:color w:val="auto"/>
          <w:sz w:val="24"/>
          <w:szCs w:val="24"/>
        </w:rPr>
        <w:t xml:space="preserve">When </w:t>
      </w:r>
      <w:r w:rsidR="006A2C66" w:rsidRPr="004D7F22">
        <w:rPr>
          <w:color w:val="auto"/>
          <w:sz w:val="24"/>
          <w:szCs w:val="24"/>
        </w:rPr>
        <w:t>the above</w:t>
      </w:r>
      <w:r w:rsidRPr="004D7F22">
        <w:rPr>
          <w:color w:val="auto"/>
          <w:sz w:val="24"/>
          <w:szCs w:val="24"/>
        </w:rPr>
        <w:t xml:space="preserve"> criteria is met the Local Authority</w:t>
      </w:r>
      <w:r w:rsidR="006A2C66" w:rsidRPr="004D7F22">
        <w:rPr>
          <w:color w:val="auto"/>
          <w:sz w:val="24"/>
          <w:szCs w:val="24"/>
        </w:rPr>
        <w:t xml:space="preserve"> </w:t>
      </w:r>
      <w:r w:rsidRPr="004D7F22">
        <w:rPr>
          <w:color w:val="auto"/>
          <w:sz w:val="24"/>
          <w:szCs w:val="24"/>
        </w:rPr>
        <w:t>must notify the CSPRP and local safeguarding partners within five working days of becoming aware that an incident</w:t>
      </w:r>
      <w:r w:rsidR="00E07015" w:rsidRPr="004D7F22">
        <w:rPr>
          <w:color w:val="auto"/>
          <w:sz w:val="24"/>
          <w:szCs w:val="24"/>
        </w:rPr>
        <w:t xml:space="preserve"> and/or death</w:t>
      </w:r>
      <w:r w:rsidRPr="004D7F22">
        <w:rPr>
          <w:color w:val="auto"/>
          <w:sz w:val="24"/>
          <w:szCs w:val="24"/>
        </w:rPr>
        <w:t xml:space="preserve"> has occurred.  </w:t>
      </w:r>
    </w:p>
    <w:p w14:paraId="3B3B4DF8" w14:textId="77777777" w:rsidR="00653CA6" w:rsidRPr="004D7F22" w:rsidRDefault="00653CA6" w:rsidP="00653CA6">
      <w:pPr>
        <w:pStyle w:val="NoSpacing"/>
        <w:jc w:val="both"/>
        <w:rPr>
          <w:color w:val="auto"/>
          <w:sz w:val="24"/>
          <w:szCs w:val="24"/>
        </w:rPr>
      </w:pPr>
    </w:p>
    <w:p w14:paraId="6D2AE88D" w14:textId="77777777" w:rsidR="00653CA6" w:rsidRPr="004D7F22" w:rsidRDefault="00653CA6" w:rsidP="00653CA6">
      <w:pPr>
        <w:pStyle w:val="NoSpacing"/>
        <w:jc w:val="both"/>
        <w:rPr>
          <w:sz w:val="24"/>
          <w:szCs w:val="24"/>
        </w:rPr>
      </w:pPr>
      <w:r w:rsidRPr="004D7F22">
        <w:rPr>
          <w:sz w:val="24"/>
          <w:szCs w:val="24"/>
        </w:rPr>
        <w:t>The Local Authority must also notify the Secretary of State and Ofsted where a looked after child has died, whether or not abuse or neglect is known or suspected.</w:t>
      </w:r>
    </w:p>
    <w:p w14:paraId="222851AD" w14:textId="77777777" w:rsidR="006A2C66" w:rsidRDefault="006A2C66" w:rsidP="00653CA6">
      <w:pPr>
        <w:pStyle w:val="NoSpacing"/>
        <w:jc w:val="both"/>
        <w:rPr>
          <w:sz w:val="24"/>
          <w:szCs w:val="24"/>
        </w:rPr>
      </w:pPr>
    </w:p>
    <w:p w14:paraId="5D552F9D" w14:textId="77777777" w:rsidR="000D27BA" w:rsidRDefault="000D27BA" w:rsidP="00653CA6">
      <w:pPr>
        <w:pStyle w:val="NoSpacing"/>
        <w:jc w:val="both"/>
        <w:rPr>
          <w:b/>
          <w:color w:val="2F5496" w:themeColor="accent5" w:themeShade="BF"/>
          <w:sz w:val="24"/>
          <w:szCs w:val="24"/>
        </w:rPr>
      </w:pPr>
    </w:p>
    <w:p w14:paraId="58209295" w14:textId="77777777" w:rsidR="000D27BA" w:rsidRDefault="000D27BA" w:rsidP="00653CA6">
      <w:pPr>
        <w:pStyle w:val="NoSpacing"/>
        <w:jc w:val="both"/>
        <w:rPr>
          <w:b/>
          <w:color w:val="2F5496" w:themeColor="accent5" w:themeShade="BF"/>
          <w:sz w:val="24"/>
          <w:szCs w:val="24"/>
        </w:rPr>
      </w:pPr>
    </w:p>
    <w:p w14:paraId="7288C4B9" w14:textId="77777777" w:rsidR="000D27BA" w:rsidRDefault="000D27BA" w:rsidP="00653CA6">
      <w:pPr>
        <w:pStyle w:val="NoSpacing"/>
        <w:jc w:val="both"/>
        <w:rPr>
          <w:b/>
          <w:color w:val="2F5496" w:themeColor="accent5" w:themeShade="BF"/>
          <w:sz w:val="24"/>
          <w:szCs w:val="24"/>
        </w:rPr>
      </w:pPr>
    </w:p>
    <w:p w14:paraId="1D3DD121" w14:textId="77777777" w:rsidR="000D27BA" w:rsidRDefault="000D27BA" w:rsidP="00653CA6">
      <w:pPr>
        <w:pStyle w:val="NoSpacing"/>
        <w:jc w:val="both"/>
        <w:rPr>
          <w:b/>
          <w:color w:val="2F5496" w:themeColor="accent5" w:themeShade="BF"/>
          <w:sz w:val="24"/>
          <w:szCs w:val="24"/>
        </w:rPr>
      </w:pPr>
    </w:p>
    <w:p w14:paraId="5B38F662" w14:textId="592C8D83" w:rsidR="00E07015" w:rsidRDefault="00E07015" w:rsidP="00653CA6">
      <w:pPr>
        <w:pStyle w:val="NoSpacing"/>
        <w:jc w:val="both"/>
        <w:rPr>
          <w:b/>
          <w:color w:val="2F5496" w:themeColor="accent5" w:themeShade="BF"/>
          <w:sz w:val="24"/>
          <w:szCs w:val="24"/>
        </w:rPr>
      </w:pPr>
      <w:bookmarkStart w:id="0" w:name="_GoBack"/>
      <w:bookmarkEnd w:id="0"/>
      <w:r w:rsidRPr="004D7F22">
        <w:rPr>
          <w:b/>
          <w:color w:val="2F5496" w:themeColor="accent5" w:themeShade="BF"/>
          <w:sz w:val="24"/>
          <w:szCs w:val="24"/>
        </w:rPr>
        <w:t>What is the purpose of the Rapid Review?</w:t>
      </w:r>
    </w:p>
    <w:p w14:paraId="3350EBDD" w14:textId="77777777" w:rsidR="004D7F22" w:rsidRPr="004D7F22" w:rsidRDefault="004D7F22" w:rsidP="00653CA6">
      <w:pPr>
        <w:pStyle w:val="NoSpacing"/>
        <w:jc w:val="both"/>
        <w:rPr>
          <w:b/>
          <w:color w:val="2F5496" w:themeColor="accent5" w:themeShade="BF"/>
          <w:sz w:val="24"/>
          <w:szCs w:val="24"/>
        </w:rPr>
      </w:pPr>
    </w:p>
    <w:p w14:paraId="42754418" w14:textId="77777777" w:rsidR="00653CA6" w:rsidRPr="004D7F22" w:rsidRDefault="00653CA6" w:rsidP="00653CA6">
      <w:pPr>
        <w:pStyle w:val="NoSpacing"/>
        <w:jc w:val="both"/>
        <w:rPr>
          <w:color w:val="auto"/>
          <w:sz w:val="24"/>
          <w:szCs w:val="24"/>
        </w:rPr>
      </w:pPr>
      <w:r w:rsidRPr="004D7F22">
        <w:rPr>
          <w:color w:val="auto"/>
          <w:sz w:val="24"/>
          <w:szCs w:val="24"/>
        </w:rPr>
        <w:t xml:space="preserve">Following notification to the CSPRP, </w:t>
      </w:r>
      <w:r w:rsidR="00E07015" w:rsidRPr="004D7F22">
        <w:rPr>
          <w:color w:val="auto"/>
          <w:sz w:val="24"/>
          <w:szCs w:val="24"/>
        </w:rPr>
        <w:t xml:space="preserve">the NYSCP Business Unit instigate a </w:t>
      </w:r>
      <w:r w:rsidRPr="004D7F22">
        <w:rPr>
          <w:color w:val="auto"/>
          <w:sz w:val="24"/>
          <w:szCs w:val="24"/>
        </w:rPr>
        <w:t>15 day rapid review of the case to enable partners to;</w:t>
      </w:r>
    </w:p>
    <w:p w14:paraId="27C21926" w14:textId="77777777" w:rsidR="00653CA6" w:rsidRPr="004D7F22" w:rsidRDefault="00653CA6" w:rsidP="00653CA6">
      <w:pPr>
        <w:pStyle w:val="NoSpacing"/>
        <w:jc w:val="both"/>
        <w:rPr>
          <w:color w:val="auto"/>
          <w:sz w:val="24"/>
          <w:szCs w:val="24"/>
        </w:rPr>
      </w:pPr>
    </w:p>
    <w:p w14:paraId="5C4B84C5" w14:textId="77777777" w:rsidR="00653CA6" w:rsidRPr="004D7F22" w:rsidRDefault="00653CA6" w:rsidP="00653CA6">
      <w:pPr>
        <w:pStyle w:val="NoSpacing"/>
        <w:numPr>
          <w:ilvl w:val="0"/>
          <w:numId w:val="13"/>
        </w:numPr>
        <w:jc w:val="both"/>
        <w:rPr>
          <w:color w:val="auto"/>
          <w:sz w:val="24"/>
          <w:szCs w:val="24"/>
        </w:rPr>
      </w:pPr>
      <w:r w:rsidRPr="004D7F22">
        <w:rPr>
          <w:color w:val="auto"/>
          <w:sz w:val="24"/>
          <w:szCs w:val="24"/>
        </w:rPr>
        <w:t>Gather the facts about the case, as far as they can be readily established at the time</w:t>
      </w:r>
    </w:p>
    <w:p w14:paraId="58315BB9" w14:textId="77777777" w:rsidR="00653CA6" w:rsidRPr="004D7F22" w:rsidRDefault="00653CA6" w:rsidP="00653CA6">
      <w:pPr>
        <w:pStyle w:val="NoSpacing"/>
        <w:numPr>
          <w:ilvl w:val="0"/>
          <w:numId w:val="13"/>
        </w:numPr>
        <w:jc w:val="both"/>
        <w:rPr>
          <w:color w:val="auto"/>
          <w:sz w:val="24"/>
          <w:szCs w:val="24"/>
        </w:rPr>
      </w:pPr>
      <w:r w:rsidRPr="004D7F22">
        <w:rPr>
          <w:color w:val="auto"/>
          <w:sz w:val="24"/>
          <w:szCs w:val="24"/>
        </w:rPr>
        <w:t xml:space="preserve">Establish whether there is any immediate action needed to ensure a child’s safety </w:t>
      </w:r>
    </w:p>
    <w:p w14:paraId="7898A018" w14:textId="77777777" w:rsidR="00653CA6" w:rsidRPr="004D7F22" w:rsidRDefault="00653CA6" w:rsidP="00653CA6">
      <w:pPr>
        <w:pStyle w:val="NoSpacing"/>
        <w:numPr>
          <w:ilvl w:val="0"/>
          <w:numId w:val="13"/>
        </w:numPr>
        <w:jc w:val="both"/>
        <w:rPr>
          <w:color w:val="auto"/>
          <w:sz w:val="24"/>
          <w:szCs w:val="24"/>
        </w:rPr>
      </w:pPr>
      <w:r w:rsidRPr="004D7F22">
        <w:rPr>
          <w:color w:val="auto"/>
          <w:sz w:val="24"/>
          <w:szCs w:val="24"/>
        </w:rPr>
        <w:t>Consider the potential for identifying improvements to safeguard and promote the welfare of children</w:t>
      </w:r>
    </w:p>
    <w:p w14:paraId="1242BB66" w14:textId="06DDE6DC" w:rsidR="00653CA6" w:rsidRPr="004D7F22" w:rsidRDefault="00026C87" w:rsidP="00653CA6">
      <w:pPr>
        <w:pStyle w:val="NoSpacing"/>
        <w:numPr>
          <w:ilvl w:val="0"/>
          <w:numId w:val="13"/>
        </w:numPr>
        <w:jc w:val="both"/>
        <w:rPr>
          <w:color w:val="auto"/>
          <w:sz w:val="24"/>
          <w:szCs w:val="24"/>
        </w:rPr>
      </w:pPr>
      <w:r w:rsidRPr="004D7F22">
        <w:rPr>
          <w:color w:val="auto"/>
          <w:sz w:val="24"/>
          <w:szCs w:val="24"/>
        </w:rPr>
        <w:t>Recommend to the three statutory partner</w:t>
      </w:r>
      <w:r w:rsidR="00765B9D">
        <w:rPr>
          <w:color w:val="auto"/>
          <w:sz w:val="24"/>
          <w:szCs w:val="24"/>
        </w:rPr>
        <w:t>s</w:t>
      </w:r>
      <w:r w:rsidRPr="004D7F22">
        <w:rPr>
          <w:color w:val="auto"/>
          <w:sz w:val="24"/>
          <w:szCs w:val="24"/>
        </w:rPr>
        <w:t xml:space="preserve"> </w:t>
      </w:r>
      <w:r w:rsidR="00653CA6" w:rsidRPr="004D7F22">
        <w:rPr>
          <w:color w:val="auto"/>
          <w:sz w:val="24"/>
          <w:szCs w:val="24"/>
        </w:rPr>
        <w:t xml:space="preserve">what steps they should take next, which includes </w:t>
      </w:r>
      <w:r w:rsidR="00653CA6" w:rsidRPr="004D7F22">
        <w:rPr>
          <w:sz w:val="24"/>
          <w:szCs w:val="24"/>
        </w:rPr>
        <w:t>making a decision as to whether or not a Local Child Safeguarding Practice Review (LCSPR) should be undertaken using the criteria set out in Working Together to Safeguard Children (2018)</w:t>
      </w:r>
      <w:r w:rsidR="007A7D55" w:rsidRPr="004D7F22">
        <w:rPr>
          <w:rStyle w:val="EndnoteReference"/>
          <w:sz w:val="24"/>
          <w:szCs w:val="24"/>
        </w:rPr>
        <w:endnoteReference w:id="2"/>
      </w:r>
      <w:r w:rsidR="00653CA6" w:rsidRPr="004D7F22">
        <w:rPr>
          <w:sz w:val="24"/>
          <w:szCs w:val="24"/>
        </w:rPr>
        <w:t>.</w:t>
      </w:r>
    </w:p>
    <w:p w14:paraId="251BE324" w14:textId="77777777" w:rsidR="00E07015" w:rsidRPr="004D7F22" w:rsidRDefault="00E07015" w:rsidP="00E07015">
      <w:pPr>
        <w:pStyle w:val="NoSpacing"/>
        <w:jc w:val="both"/>
        <w:rPr>
          <w:sz w:val="24"/>
          <w:szCs w:val="24"/>
        </w:rPr>
      </w:pPr>
    </w:p>
    <w:p w14:paraId="39E5A090" w14:textId="77777777" w:rsidR="00E07015" w:rsidRPr="004D7F22" w:rsidRDefault="00E07015" w:rsidP="00E07015">
      <w:pPr>
        <w:pStyle w:val="NoSpacing"/>
        <w:jc w:val="both"/>
        <w:rPr>
          <w:color w:val="auto"/>
          <w:sz w:val="24"/>
          <w:szCs w:val="24"/>
        </w:rPr>
      </w:pPr>
      <w:r w:rsidRPr="004D7F22">
        <w:rPr>
          <w:sz w:val="24"/>
          <w:szCs w:val="24"/>
        </w:rPr>
        <w:t>The NYSCP Manager also notifies the NYSCP Executive (North Yorkshire Police (NYP), North Yorkshire County Council (NYCC) and Clinical Commissioning Group (CCG) and notifies the Chair and Independent Scrutineer of the NYSCP.</w:t>
      </w:r>
    </w:p>
    <w:p w14:paraId="394D8EE7" w14:textId="77777777" w:rsidR="00653CA6" w:rsidRPr="004D7F22" w:rsidRDefault="00653CA6" w:rsidP="00653CA6">
      <w:pPr>
        <w:pStyle w:val="NoSpacing"/>
        <w:jc w:val="both"/>
        <w:rPr>
          <w:sz w:val="24"/>
          <w:szCs w:val="24"/>
        </w:rPr>
      </w:pPr>
    </w:p>
    <w:p w14:paraId="6F6FFE8B" w14:textId="77777777" w:rsidR="006A2C66" w:rsidRDefault="006A2C66" w:rsidP="006A2C66">
      <w:pPr>
        <w:pStyle w:val="NoSpacing"/>
        <w:jc w:val="both"/>
        <w:rPr>
          <w:b/>
          <w:color w:val="2F5496" w:themeColor="accent5" w:themeShade="BF"/>
          <w:sz w:val="24"/>
          <w:szCs w:val="24"/>
        </w:rPr>
      </w:pPr>
      <w:r w:rsidRPr="004D7F22">
        <w:rPr>
          <w:b/>
          <w:color w:val="2F5496" w:themeColor="accent5" w:themeShade="BF"/>
          <w:sz w:val="24"/>
          <w:szCs w:val="24"/>
        </w:rPr>
        <w:t xml:space="preserve">Who undertakes the rapid review? </w:t>
      </w:r>
    </w:p>
    <w:p w14:paraId="36851767" w14:textId="77777777" w:rsidR="004D7F22" w:rsidRPr="004D7F22" w:rsidRDefault="004D7F22" w:rsidP="006A2C66">
      <w:pPr>
        <w:pStyle w:val="NoSpacing"/>
        <w:jc w:val="both"/>
        <w:rPr>
          <w:b/>
          <w:color w:val="2F5496" w:themeColor="accent5" w:themeShade="BF"/>
          <w:sz w:val="24"/>
          <w:szCs w:val="24"/>
        </w:rPr>
      </w:pPr>
    </w:p>
    <w:p w14:paraId="2ADF9C77" w14:textId="77777777" w:rsidR="006A2C66" w:rsidRPr="004D7F22" w:rsidRDefault="006A2C66" w:rsidP="006A2C66">
      <w:pPr>
        <w:pStyle w:val="NoSpacing"/>
        <w:jc w:val="both"/>
        <w:rPr>
          <w:color w:val="auto"/>
          <w:sz w:val="24"/>
          <w:szCs w:val="24"/>
        </w:rPr>
      </w:pPr>
      <w:r w:rsidRPr="004D7F22">
        <w:rPr>
          <w:color w:val="auto"/>
          <w:sz w:val="24"/>
          <w:szCs w:val="24"/>
        </w:rPr>
        <w:t xml:space="preserve">The rapid review is undertaken by North Yorkshire Safeguarding Practice Review Group (NY SPRG) </w:t>
      </w:r>
      <w:r w:rsidR="00026C87" w:rsidRPr="004D7F22">
        <w:rPr>
          <w:color w:val="auto"/>
          <w:sz w:val="24"/>
          <w:szCs w:val="24"/>
        </w:rPr>
        <w:t xml:space="preserve">which consists of named representatives from key organisations responsible for children and young people’s </w:t>
      </w:r>
      <w:r w:rsidR="004D7F22" w:rsidRPr="004D7F22">
        <w:rPr>
          <w:color w:val="auto"/>
          <w:sz w:val="24"/>
          <w:szCs w:val="24"/>
        </w:rPr>
        <w:t>services</w:t>
      </w:r>
      <w:r w:rsidR="00026C87" w:rsidRPr="004D7F22">
        <w:rPr>
          <w:color w:val="auto"/>
          <w:sz w:val="24"/>
          <w:szCs w:val="24"/>
        </w:rPr>
        <w:t xml:space="preserve"> in North Yorkshire. </w:t>
      </w:r>
      <w:r w:rsidRPr="004D7F22">
        <w:rPr>
          <w:color w:val="auto"/>
          <w:sz w:val="24"/>
          <w:szCs w:val="24"/>
        </w:rPr>
        <w:t xml:space="preserve">Additional participants are only invited if appropriate.  </w:t>
      </w:r>
    </w:p>
    <w:p w14:paraId="5F825719" w14:textId="77777777" w:rsidR="006A2C66" w:rsidRPr="004D7F22" w:rsidRDefault="006A2C66" w:rsidP="00653CA6">
      <w:pPr>
        <w:pStyle w:val="NoSpacing"/>
        <w:jc w:val="both"/>
        <w:rPr>
          <w:b/>
          <w:color w:val="2F5496" w:themeColor="accent5" w:themeShade="BF"/>
          <w:sz w:val="24"/>
          <w:szCs w:val="24"/>
        </w:rPr>
      </w:pPr>
    </w:p>
    <w:p w14:paraId="26543A11" w14:textId="77777777" w:rsidR="00E07015" w:rsidRDefault="00E07015" w:rsidP="00653CA6">
      <w:pPr>
        <w:pStyle w:val="NoSpacing"/>
        <w:jc w:val="both"/>
        <w:rPr>
          <w:b/>
          <w:color w:val="2F5496" w:themeColor="accent5" w:themeShade="BF"/>
          <w:sz w:val="24"/>
          <w:szCs w:val="24"/>
        </w:rPr>
      </w:pPr>
      <w:r w:rsidRPr="004D7F22">
        <w:rPr>
          <w:b/>
          <w:color w:val="2F5496" w:themeColor="accent5" w:themeShade="BF"/>
          <w:sz w:val="24"/>
          <w:szCs w:val="24"/>
        </w:rPr>
        <w:t>Timeline of the rapid review</w:t>
      </w:r>
    </w:p>
    <w:p w14:paraId="08446BCE" w14:textId="77777777" w:rsidR="004D7F22" w:rsidRPr="004D7F22" w:rsidRDefault="004D7F22" w:rsidP="00653CA6">
      <w:pPr>
        <w:pStyle w:val="NoSpacing"/>
        <w:jc w:val="both"/>
        <w:rPr>
          <w:b/>
          <w:color w:val="2F5496" w:themeColor="accent5" w:themeShade="BF"/>
          <w:sz w:val="24"/>
          <w:szCs w:val="24"/>
        </w:rPr>
      </w:pPr>
    </w:p>
    <w:p w14:paraId="43E87835" w14:textId="77777777" w:rsidR="00E07015" w:rsidRPr="004D7F22" w:rsidRDefault="00E07015" w:rsidP="00653CA6">
      <w:pPr>
        <w:pStyle w:val="NoSpacing"/>
        <w:jc w:val="both"/>
        <w:rPr>
          <w:color w:val="auto"/>
          <w:sz w:val="24"/>
          <w:szCs w:val="24"/>
        </w:rPr>
      </w:pPr>
      <w:r w:rsidRPr="004D7F22">
        <w:rPr>
          <w:color w:val="auto"/>
          <w:sz w:val="24"/>
          <w:szCs w:val="24"/>
        </w:rPr>
        <w:t xml:space="preserve">The NY SPRG convene an Initial Case Discussion </w:t>
      </w:r>
      <w:r w:rsidR="006A2C66" w:rsidRPr="004D7F22">
        <w:rPr>
          <w:color w:val="auto"/>
          <w:sz w:val="24"/>
          <w:szCs w:val="24"/>
        </w:rPr>
        <w:t xml:space="preserve">Meeting </w:t>
      </w:r>
      <w:r w:rsidRPr="004D7F22">
        <w:rPr>
          <w:color w:val="auto"/>
          <w:sz w:val="24"/>
          <w:szCs w:val="24"/>
        </w:rPr>
        <w:t xml:space="preserve">to agree the key lines of enquiry (KLOE), </w:t>
      </w:r>
      <w:r w:rsidR="00026C87" w:rsidRPr="004D7F22">
        <w:rPr>
          <w:color w:val="auto"/>
          <w:sz w:val="24"/>
          <w:szCs w:val="24"/>
        </w:rPr>
        <w:t xml:space="preserve">develop </w:t>
      </w:r>
      <w:r w:rsidRPr="004D7F22">
        <w:rPr>
          <w:color w:val="auto"/>
          <w:sz w:val="24"/>
          <w:szCs w:val="24"/>
        </w:rPr>
        <w:t xml:space="preserve">the rapid review timeline and decided which organisations to request information from. </w:t>
      </w:r>
    </w:p>
    <w:p w14:paraId="48584FD6" w14:textId="77777777" w:rsidR="00E07015" w:rsidRPr="004D7F22" w:rsidRDefault="00E07015" w:rsidP="00653CA6">
      <w:pPr>
        <w:pStyle w:val="NoSpacing"/>
        <w:jc w:val="both"/>
        <w:rPr>
          <w:color w:val="auto"/>
          <w:sz w:val="24"/>
          <w:szCs w:val="24"/>
        </w:rPr>
      </w:pPr>
    </w:p>
    <w:p w14:paraId="7EFBA2A0" w14:textId="370ACB06" w:rsidR="00E07015" w:rsidRPr="004D7F22" w:rsidRDefault="00E07015" w:rsidP="00653CA6">
      <w:pPr>
        <w:pStyle w:val="NoSpacing"/>
        <w:jc w:val="both"/>
        <w:rPr>
          <w:color w:val="auto"/>
          <w:sz w:val="24"/>
          <w:szCs w:val="24"/>
        </w:rPr>
      </w:pPr>
      <w:r w:rsidRPr="004D7F22">
        <w:rPr>
          <w:color w:val="auto"/>
          <w:sz w:val="24"/>
          <w:szCs w:val="24"/>
        </w:rPr>
        <w:lastRenderedPageBreak/>
        <w:t>Information</w:t>
      </w:r>
      <w:r w:rsidR="006A2C66" w:rsidRPr="004D7F22">
        <w:rPr>
          <w:color w:val="auto"/>
          <w:sz w:val="24"/>
          <w:szCs w:val="24"/>
        </w:rPr>
        <w:t xml:space="preserve"> is requested from organisations</w:t>
      </w:r>
      <w:r w:rsidRPr="004D7F22">
        <w:rPr>
          <w:color w:val="auto"/>
          <w:sz w:val="24"/>
          <w:szCs w:val="24"/>
        </w:rPr>
        <w:t xml:space="preserve"> via the NY SPRG ‘Form 2’</w:t>
      </w:r>
      <w:r w:rsidR="006A2C66" w:rsidRPr="004D7F22">
        <w:rPr>
          <w:color w:val="auto"/>
          <w:sz w:val="24"/>
          <w:szCs w:val="24"/>
        </w:rPr>
        <w:t xml:space="preserve"> which contains the KLOE’s</w:t>
      </w:r>
      <w:r w:rsidRPr="004D7F22">
        <w:rPr>
          <w:color w:val="auto"/>
          <w:sz w:val="24"/>
          <w:szCs w:val="24"/>
        </w:rPr>
        <w:t>.  NY SPRG members and any additional NYSCP Partner lead</w:t>
      </w:r>
      <w:r w:rsidR="006A2C66" w:rsidRPr="004D7F22">
        <w:rPr>
          <w:color w:val="auto"/>
          <w:sz w:val="24"/>
          <w:szCs w:val="24"/>
        </w:rPr>
        <w:t xml:space="preserve"> the</w:t>
      </w:r>
      <w:r w:rsidRPr="004D7F22">
        <w:rPr>
          <w:color w:val="auto"/>
          <w:sz w:val="24"/>
          <w:szCs w:val="24"/>
        </w:rPr>
        <w:t xml:space="preserve"> gather</w:t>
      </w:r>
      <w:r w:rsidR="00026C87" w:rsidRPr="004D7F22">
        <w:rPr>
          <w:color w:val="auto"/>
          <w:sz w:val="24"/>
          <w:szCs w:val="24"/>
        </w:rPr>
        <w:t>ing of</w:t>
      </w:r>
      <w:r w:rsidR="006A2C66" w:rsidRPr="004D7F22">
        <w:rPr>
          <w:color w:val="auto"/>
          <w:sz w:val="24"/>
          <w:szCs w:val="24"/>
        </w:rPr>
        <w:t xml:space="preserve"> the</w:t>
      </w:r>
      <w:r w:rsidRPr="004D7F22">
        <w:rPr>
          <w:color w:val="auto"/>
          <w:sz w:val="24"/>
          <w:szCs w:val="24"/>
        </w:rPr>
        <w:t xml:space="preserve"> information </w:t>
      </w:r>
      <w:r w:rsidR="00026C87" w:rsidRPr="004D7F22">
        <w:rPr>
          <w:color w:val="auto"/>
          <w:sz w:val="24"/>
          <w:szCs w:val="24"/>
        </w:rPr>
        <w:t xml:space="preserve">which is </w:t>
      </w:r>
      <w:r w:rsidRPr="004D7F22">
        <w:rPr>
          <w:color w:val="auto"/>
          <w:sz w:val="24"/>
          <w:szCs w:val="24"/>
        </w:rPr>
        <w:t xml:space="preserve">returned to the NYSCP Business Unit for collation. </w:t>
      </w:r>
    </w:p>
    <w:p w14:paraId="169AC4D2" w14:textId="77777777" w:rsidR="00E07015" w:rsidRPr="004D7F22" w:rsidRDefault="00E07015" w:rsidP="00653CA6">
      <w:pPr>
        <w:pStyle w:val="NoSpacing"/>
        <w:jc w:val="both"/>
        <w:rPr>
          <w:color w:val="auto"/>
          <w:sz w:val="24"/>
          <w:szCs w:val="24"/>
        </w:rPr>
      </w:pPr>
    </w:p>
    <w:p w14:paraId="4A7D66F5" w14:textId="77777777" w:rsidR="00E07015" w:rsidRPr="004D7F22" w:rsidRDefault="00E07015" w:rsidP="00653CA6">
      <w:pPr>
        <w:pStyle w:val="NoSpacing"/>
        <w:jc w:val="both"/>
        <w:rPr>
          <w:color w:val="auto"/>
          <w:sz w:val="24"/>
          <w:szCs w:val="24"/>
        </w:rPr>
      </w:pPr>
      <w:r w:rsidRPr="004D7F22">
        <w:rPr>
          <w:color w:val="auto"/>
          <w:sz w:val="24"/>
          <w:szCs w:val="24"/>
        </w:rPr>
        <w:t xml:space="preserve">The collated information is shared with the NY SPRG ahead of the Rapid Review Meeting.  </w:t>
      </w:r>
    </w:p>
    <w:p w14:paraId="47E3A776" w14:textId="77777777" w:rsidR="00E07015" w:rsidRPr="004D7F22" w:rsidRDefault="00E07015" w:rsidP="00653CA6">
      <w:pPr>
        <w:pStyle w:val="NoSpacing"/>
        <w:jc w:val="both"/>
        <w:rPr>
          <w:color w:val="auto"/>
          <w:sz w:val="24"/>
          <w:szCs w:val="24"/>
        </w:rPr>
      </w:pPr>
    </w:p>
    <w:p w14:paraId="039C2746" w14:textId="77777777" w:rsidR="00E07015" w:rsidRPr="004D7F22" w:rsidRDefault="006A2C66" w:rsidP="00653CA6">
      <w:pPr>
        <w:pStyle w:val="NoSpacing"/>
        <w:jc w:val="both"/>
        <w:rPr>
          <w:color w:val="auto"/>
          <w:sz w:val="24"/>
          <w:szCs w:val="24"/>
        </w:rPr>
      </w:pPr>
      <w:r w:rsidRPr="004D7F22">
        <w:rPr>
          <w:color w:val="auto"/>
          <w:sz w:val="24"/>
          <w:szCs w:val="24"/>
        </w:rPr>
        <w:t>The NY SPRG convene a</w:t>
      </w:r>
      <w:r w:rsidR="00E07015" w:rsidRPr="004D7F22">
        <w:rPr>
          <w:color w:val="auto"/>
          <w:sz w:val="24"/>
          <w:szCs w:val="24"/>
        </w:rPr>
        <w:t xml:space="preserve"> Rapid Review Meeting </w:t>
      </w:r>
      <w:r w:rsidRPr="004D7F22">
        <w:rPr>
          <w:color w:val="auto"/>
          <w:sz w:val="24"/>
          <w:szCs w:val="24"/>
        </w:rPr>
        <w:t xml:space="preserve">where they </w:t>
      </w:r>
      <w:r w:rsidR="00E07015" w:rsidRPr="004D7F22">
        <w:rPr>
          <w:color w:val="auto"/>
          <w:sz w:val="24"/>
          <w:szCs w:val="24"/>
        </w:rPr>
        <w:t>review and discuss the</w:t>
      </w:r>
      <w:r w:rsidRPr="004D7F22">
        <w:rPr>
          <w:color w:val="auto"/>
          <w:sz w:val="24"/>
          <w:szCs w:val="24"/>
        </w:rPr>
        <w:t xml:space="preserve"> available</w:t>
      </w:r>
      <w:r w:rsidR="00E07015" w:rsidRPr="004D7F22">
        <w:rPr>
          <w:color w:val="auto"/>
          <w:sz w:val="24"/>
          <w:szCs w:val="24"/>
        </w:rPr>
        <w:t xml:space="preserve"> information.  The NY SPRG Chair and the NYSCP Business Unit then finalise the Rapid Review Report</w:t>
      </w:r>
      <w:r w:rsidRPr="004D7F22">
        <w:rPr>
          <w:color w:val="auto"/>
          <w:sz w:val="24"/>
          <w:szCs w:val="24"/>
        </w:rPr>
        <w:t xml:space="preserve"> which should include whether </w:t>
      </w:r>
      <w:r w:rsidR="00026C87" w:rsidRPr="004D7F22">
        <w:rPr>
          <w:color w:val="auto"/>
          <w:sz w:val="24"/>
          <w:szCs w:val="24"/>
        </w:rPr>
        <w:t>NY SPRG recommend</w:t>
      </w:r>
      <w:r w:rsidRPr="004D7F22">
        <w:rPr>
          <w:color w:val="auto"/>
          <w:sz w:val="24"/>
          <w:szCs w:val="24"/>
        </w:rPr>
        <w:t xml:space="preserve"> a further review is needed</w:t>
      </w:r>
      <w:r w:rsidR="00E07015" w:rsidRPr="004D7F22">
        <w:rPr>
          <w:color w:val="auto"/>
          <w:sz w:val="24"/>
          <w:szCs w:val="24"/>
        </w:rPr>
        <w:t>.</w:t>
      </w:r>
    </w:p>
    <w:p w14:paraId="189B4DE6" w14:textId="77777777" w:rsidR="00E07015" w:rsidRPr="004D7F22" w:rsidRDefault="00E07015" w:rsidP="00653CA6">
      <w:pPr>
        <w:pStyle w:val="NoSpacing"/>
        <w:jc w:val="both"/>
        <w:rPr>
          <w:color w:val="auto"/>
          <w:sz w:val="24"/>
          <w:szCs w:val="24"/>
        </w:rPr>
      </w:pPr>
    </w:p>
    <w:p w14:paraId="19081D24" w14:textId="77777777" w:rsidR="00E07015" w:rsidRPr="004D7F22" w:rsidRDefault="00E07015" w:rsidP="00653CA6">
      <w:pPr>
        <w:pStyle w:val="NoSpacing"/>
        <w:jc w:val="both"/>
        <w:rPr>
          <w:color w:val="auto"/>
          <w:sz w:val="24"/>
          <w:szCs w:val="24"/>
        </w:rPr>
      </w:pPr>
      <w:r w:rsidRPr="004D7F22">
        <w:rPr>
          <w:color w:val="auto"/>
          <w:sz w:val="24"/>
          <w:szCs w:val="24"/>
        </w:rPr>
        <w:t xml:space="preserve">The outcomes are shared and agreement sought from the NYSCP Executive </w:t>
      </w:r>
      <w:r w:rsidR="004D7F22">
        <w:rPr>
          <w:color w:val="auto"/>
          <w:sz w:val="24"/>
          <w:szCs w:val="24"/>
        </w:rPr>
        <w:t xml:space="preserve">Strategic Partners </w:t>
      </w:r>
      <w:r w:rsidRPr="004D7F22">
        <w:rPr>
          <w:color w:val="auto"/>
          <w:sz w:val="24"/>
          <w:szCs w:val="24"/>
        </w:rPr>
        <w:t>(NYP, NYCC and CCG) and notif</w:t>
      </w:r>
      <w:r w:rsidR="00026C87" w:rsidRPr="004D7F22">
        <w:rPr>
          <w:color w:val="auto"/>
          <w:sz w:val="24"/>
          <w:szCs w:val="24"/>
        </w:rPr>
        <w:t>ied to</w:t>
      </w:r>
      <w:r w:rsidRPr="004D7F22">
        <w:rPr>
          <w:color w:val="auto"/>
          <w:sz w:val="24"/>
          <w:szCs w:val="24"/>
        </w:rPr>
        <w:t xml:space="preserve"> the Chair and Independent Scrutineer of the NYSCP.</w:t>
      </w:r>
    </w:p>
    <w:p w14:paraId="6752A479" w14:textId="77777777" w:rsidR="00E07015" w:rsidRPr="004D7F22" w:rsidRDefault="00E07015" w:rsidP="00653CA6">
      <w:pPr>
        <w:pStyle w:val="NoSpacing"/>
        <w:jc w:val="both"/>
        <w:rPr>
          <w:color w:val="auto"/>
          <w:sz w:val="24"/>
          <w:szCs w:val="24"/>
        </w:rPr>
      </w:pPr>
    </w:p>
    <w:p w14:paraId="687CB136" w14:textId="77777777" w:rsidR="00E07015" w:rsidRPr="004D7F22" w:rsidRDefault="00E07015" w:rsidP="00E07015">
      <w:pPr>
        <w:pStyle w:val="NoSpacing"/>
        <w:jc w:val="both"/>
        <w:rPr>
          <w:color w:val="auto"/>
          <w:sz w:val="24"/>
          <w:szCs w:val="24"/>
        </w:rPr>
      </w:pPr>
      <w:r w:rsidRPr="004D7F22">
        <w:rPr>
          <w:color w:val="auto"/>
          <w:sz w:val="24"/>
          <w:szCs w:val="24"/>
        </w:rPr>
        <w:t xml:space="preserve">On agreement by the NYSCP Executive Leads for the three statutory partners (NYP, NYCC and CCG), a copy of the final report is sent to the </w:t>
      </w:r>
      <w:r w:rsidRPr="004D7F22">
        <w:rPr>
          <w:sz w:val="24"/>
          <w:szCs w:val="24"/>
        </w:rPr>
        <w:t xml:space="preserve">CSPRP which includes </w:t>
      </w:r>
      <w:r w:rsidR="00026C87" w:rsidRPr="004D7F22">
        <w:rPr>
          <w:sz w:val="24"/>
          <w:szCs w:val="24"/>
        </w:rPr>
        <w:t>a</w:t>
      </w:r>
      <w:r w:rsidRPr="004D7F22">
        <w:rPr>
          <w:sz w:val="24"/>
          <w:szCs w:val="24"/>
        </w:rPr>
        <w:t xml:space="preserve"> </w:t>
      </w:r>
      <w:r w:rsidR="00026C87" w:rsidRPr="004D7F22">
        <w:rPr>
          <w:sz w:val="24"/>
          <w:szCs w:val="24"/>
        </w:rPr>
        <w:t xml:space="preserve">recommendation </w:t>
      </w:r>
      <w:r w:rsidRPr="004D7F22">
        <w:rPr>
          <w:sz w:val="24"/>
          <w:szCs w:val="24"/>
        </w:rPr>
        <w:t xml:space="preserve">about whether a LCSPR is </w:t>
      </w:r>
      <w:r w:rsidR="00026C87" w:rsidRPr="004D7F22">
        <w:rPr>
          <w:sz w:val="24"/>
          <w:szCs w:val="24"/>
        </w:rPr>
        <w:t xml:space="preserve">required and </w:t>
      </w:r>
      <w:r w:rsidRPr="004D7F22">
        <w:rPr>
          <w:sz w:val="24"/>
          <w:szCs w:val="24"/>
        </w:rPr>
        <w:t xml:space="preserve">whether the cases raises issues which are complex or of national importance such that a national review many be appropriate.  </w:t>
      </w:r>
    </w:p>
    <w:p w14:paraId="12A75D1B" w14:textId="77777777" w:rsidR="00E07015" w:rsidRPr="004D7F22" w:rsidRDefault="00E07015" w:rsidP="00E07015">
      <w:pPr>
        <w:pStyle w:val="NoSpacing"/>
        <w:jc w:val="both"/>
        <w:rPr>
          <w:color w:val="1F3864" w:themeColor="accent5" w:themeShade="80"/>
          <w:sz w:val="24"/>
          <w:szCs w:val="24"/>
        </w:rPr>
      </w:pPr>
    </w:p>
    <w:p w14:paraId="39AB8B48" w14:textId="77777777" w:rsidR="00E07015" w:rsidRDefault="006A2C66" w:rsidP="00E07015">
      <w:pPr>
        <w:pStyle w:val="NoSpacing"/>
        <w:jc w:val="both"/>
        <w:rPr>
          <w:b/>
          <w:color w:val="1F3864" w:themeColor="accent5" w:themeShade="80"/>
          <w:sz w:val="24"/>
          <w:szCs w:val="24"/>
        </w:rPr>
      </w:pPr>
      <w:r w:rsidRPr="004D7F22">
        <w:rPr>
          <w:b/>
          <w:color w:val="1F3864" w:themeColor="accent5" w:themeShade="80"/>
          <w:sz w:val="24"/>
          <w:szCs w:val="24"/>
        </w:rPr>
        <w:t>The CSPRP</w:t>
      </w:r>
    </w:p>
    <w:p w14:paraId="050B2506" w14:textId="77777777" w:rsidR="004D7F22" w:rsidRPr="004D7F22" w:rsidRDefault="004D7F22" w:rsidP="00E07015">
      <w:pPr>
        <w:pStyle w:val="NoSpacing"/>
        <w:jc w:val="both"/>
        <w:rPr>
          <w:b/>
          <w:color w:val="1F3864" w:themeColor="accent5" w:themeShade="80"/>
          <w:sz w:val="24"/>
          <w:szCs w:val="24"/>
        </w:rPr>
      </w:pPr>
    </w:p>
    <w:p w14:paraId="1797FED2" w14:textId="77777777" w:rsidR="00653CA6" w:rsidRPr="004D7F22" w:rsidRDefault="00653CA6" w:rsidP="00653CA6">
      <w:pPr>
        <w:pStyle w:val="NoSpacing"/>
        <w:jc w:val="both"/>
        <w:rPr>
          <w:sz w:val="24"/>
          <w:szCs w:val="24"/>
        </w:rPr>
      </w:pPr>
      <w:r w:rsidRPr="004D7F22">
        <w:rPr>
          <w:sz w:val="24"/>
          <w:szCs w:val="24"/>
        </w:rPr>
        <w:t xml:space="preserve">On receipt of the information from the rapid review the CSPRP </w:t>
      </w:r>
      <w:r w:rsidR="006A2C66" w:rsidRPr="004D7F22">
        <w:rPr>
          <w:sz w:val="24"/>
          <w:szCs w:val="24"/>
        </w:rPr>
        <w:t>will decide</w:t>
      </w:r>
      <w:r w:rsidRPr="004D7F22">
        <w:rPr>
          <w:sz w:val="24"/>
          <w:szCs w:val="24"/>
        </w:rPr>
        <w:t xml:space="preserve"> whether it is appropriate to commission a national review of the case.  They</w:t>
      </w:r>
      <w:r w:rsidR="006A2C66" w:rsidRPr="004D7F22">
        <w:rPr>
          <w:sz w:val="24"/>
          <w:szCs w:val="24"/>
        </w:rPr>
        <w:t xml:space="preserve"> will</w:t>
      </w:r>
      <w:r w:rsidRPr="004D7F22">
        <w:rPr>
          <w:sz w:val="24"/>
          <w:szCs w:val="24"/>
        </w:rPr>
        <w:t xml:space="preserve"> consider if the case;</w:t>
      </w:r>
    </w:p>
    <w:p w14:paraId="3D177523" w14:textId="77777777" w:rsidR="00653CA6" w:rsidRPr="004D7F22" w:rsidRDefault="00653CA6" w:rsidP="00653CA6">
      <w:pPr>
        <w:pStyle w:val="NoSpacing"/>
        <w:jc w:val="both"/>
        <w:rPr>
          <w:sz w:val="24"/>
          <w:szCs w:val="24"/>
        </w:rPr>
      </w:pPr>
    </w:p>
    <w:p w14:paraId="47F5980E" w14:textId="77777777" w:rsidR="00653CA6" w:rsidRPr="004D7F22" w:rsidRDefault="00653CA6" w:rsidP="00653CA6">
      <w:pPr>
        <w:pStyle w:val="NoSpacing"/>
        <w:numPr>
          <w:ilvl w:val="0"/>
          <w:numId w:val="14"/>
        </w:numPr>
        <w:jc w:val="both"/>
        <w:rPr>
          <w:sz w:val="24"/>
          <w:szCs w:val="24"/>
        </w:rPr>
      </w:pPr>
      <w:r w:rsidRPr="004D7F22">
        <w:rPr>
          <w:sz w:val="24"/>
          <w:szCs w:val="24"/>
        </w:rPr>
        <w:t>Highlights or may highlight improvements needed to safeguard and promote the welfare of children including those improvements have been previously made.</w:t>
      </w:r>
    </w:p>
    <w:p w14:paraId="33D730D8" w14:textId="77777777" w:rsidR="00653CA6" w:rsidRPr="004D7F22" w:rsidRDefault="00653CA6" w:rsidP="00653CA6">
      <w:pPr>
        <w:pStyle w:val="NoSpacing"/>
        <w:numPr>
          <w:ilvl w:val="0"/>
          <w:numId w:val="14"/>
        </w:numPr>
        <w:jc w:val="both"/>
        <w:rPr>
          <w:sz w:val="24"/>
          <w:szCs w:val="24"/>
        </w:rPr>
      </w:pPr>
      <w:r w:rsidRPr="004D7F22">
        <w:rPr>
          <w:sz w:val="24"/>
          <w:szCs w:val="24"/>
        </w:rPr>
        <w:t>Raise or may raise issues requiring legislative change or changes to guidance issued under or father to any enactment</w:t>
      </w:r>
    </w:p>
    <w:p w14:paraId="6179AD8D" w14:textId="77777777" w:rsidR="00653CA6" w:rsidRPr="004D7F22" w:rsidRDefault="00653CA6" w:rsidP="00653CA6">
      <w:pPr>
        <w:pStyle w:val="NoSpacing"/>
        <w:numPr>
          <w:ilvl w:val="0"/>
          <w:numId w:val="14"/>
        </w:numPr>
        <w:jc w:val="both"/>
        <w:rPr>
          <w:sz w:val="24"/>
          <w:szCs w:val="24"/>
        </w:rPr>
      </w:pPr>
      <w:r w:rsidRPr="004D7F22">
        <w:rPr>
          <w:sz w:val="24"/>
          <w:szCs w:val="24"/>
        </w:rPr>
        <w:t>Highlights of may highlight recurrent themes in the safeguarding and promotion of the welfare of children.</w:t>
      </w:r>
    </w:p>
    <w:p w14:paraId="1403E752" w14:textId="3B6F353B" w:rsidR="00E07015" w:rsidRPr="004D7F22" w:rsidRDefault="00E07015" w:rsidP="00653CA6">
      <w:pPr>
        <w:pStyle w:val="NoSpacing"/>
        <w:numPr>
          <w:ilvl w:val="0"/>
          <w:numId w:val="14"/>
        </w:numPr>
        <w:jc w:val="both"/>
        <w:rPr>
          <w:sz w:val="24"/>
          <w:szCs w:val="24"/>
        </w:rPr>
      </w:pPr>
      <w:r w:rsidRPr="004D7F22">
        <w:rPr>
          <w:sz w:val="24"/>
          <w:szCs w:val="24"/>
        </w:rPr>
        <w:t>Significant harm or death to a child educated otherwise tha</w:t>
      </w:r>
      <w:r w:rsidR="00765B9D">
        <w:rPr>
          <w:sz w:val="24"/>
          <w:szCs w:val="24"/>
        </w:rPr>
        <w:t>n</w:t>
      </w:r>
      <w:r w:rsidRPr="004D7F22">
        <w:rPr>
          <w:sz w:val="24"/>
          <w:szCs w:val="24"/>
        </w:rPr>
        <w:t xml:space="preserve"> at school</w:t>
      </w:r>
    </w:p>
    <w:p w14:paraId="74CDFA3F" w14:textId="77777777" w:rsidR="00E07015" w:rsidRPr="004D7F22" w:rsidRDefault="00E07015" w:rsidP="00653CA6">
      <w:pPr>
        <w:pStyle w:val="NoSpacing"/>
        <w:numPr>
          <w:ilvl w:val="0"/>
          <w:numId w:val="14"/>
        </w:numPr>
        <w:jc w:val="both"/>
        <w:rPr>
          <w:sz w:val="24"/>
          <w:szCs w:val="24"/>
        </w:rPr>
      </w:pPr>
      <w:r w:rsidRPr="004D7F22">
        <w:rPr>
          <w:sz w:val="24"/>
          <w:szCs w:val="24"/>
        </w:rPr>
        <w:t>Where a child is seriously harmed or dies whilst in the care of the local authority, or while on (or recently removed from) a child protection plan.</w:t>
      </w:r>
    </w:p>
    <w:p w14:paraId="1D062B57" w14:textId="77777777" w:rsidR="00E07015" w:rsidRPr="004D7F22" w:rsidRDefault="00E07015" w:rsidP="00653CA6">
      <w:pPr>
        <w:pStyle w:val="NoSpacing"/>
        <w:numPr>
          <w:ilvl w:val="0"/>
          <w:numId w:val="14"/>
        </w:numPr>
        <w:jc w:val="both"/>
        <w:rPr>
          <w:sz w:val="24"/>
          <w:szCs w:val="24"/>
        </w:rPr>
      </w:pPr>
      <w:r w:rsidRPr="004D7F22">
        <w:rPr>
          <w:sz w:val="24"/>
          <w:szCs w:val="24"/>
        </w:rPr>
        <w:t>Cases which involve a range of types of abuse.</w:t>
      </w:r>
    </w:p>
    <w:p w14:paraId="10B9642D" w14:textId="2F7FFD1F" w:rsidR="00E07015" w:rsidRPr="004D7F22" w:rsidRDefault="00E07015" w:rsidP="00653CA6">
      <w:pPr>
        <w:pStyle w:val="NoSpacing"/>
        <w:numPr>
          <w:ilvl w:val="0"/>
          <w:numId w:val="14"/>
        </w:numPr>
        <w:jc w:val="both"/>
        <w:rPr>
          <w:sz w:val="24"/>
          <w:szCs w:val="24"/>
        </w:rPr>
      </w:pPr>
      <w:r w:rsidRPr="004D7F22">
        <w:rPr>
          <w:sz w:val="24"/>
          <w:szCs w:val="24"/>
        </w:rPr>
        <w:t>Where the case may raise an issue relating to safeguarding or promoting the welfare of children in</w:t>
      </w:r>
      <w:r w:rsidR="00765B9D">
        <w:rPr>
          <w:sz w:val="24"/>
          <w:szCs w:val="24"/>
        </w:rPr>
        <w:t xml:space="preserve"> in</w:t>
      </w:r>
      <w:r w:rsidRPr="004D7F22">
        <w:rPr>
          <w:sz w:val="24"/>
          <w:szCs w:val="24"/>
        </w:rPr>
        <w:t xml:space="preserve">stitutional settings. </w:t>
      </w:r>
    </w:p>
    <w:p w14:paraId="3344D556" w14:textId="77777777" w:rsidR="00E07015" w:rsidRPr="004D7F22" w:rsidRDefault="00E07015" w:rsidP="00E07015">
      <w:pPr>
        <w:pStyle w:val="NoSpacing"/>
        <w:jc w:val="both"/>
        <w:rPr>
          <w:sz w:val="24"/>
          <w:szCs w:val="24"/>
        </w:rPr>
      </w:pPr>
    </w:p>
    <w:p w14:paraId="72B9068D" w14:textId="77777777" w:rsidR="00E07015" w:rsidRPr="004D7F22" w:rsidRDefault="00E07015" w:rsidP="00E07015">
      <w:pPr>
        <w:pStyle w:val="NoSpacing"/>
        <w:jc w:val="both"/>
        <w:rPr>
          <w:sz w:val="24"/>
          <w:szCs w:val="24"/>
        </w:rPr>
      </w:pPr>
      <w:r w:rsidRPr="004D7F22">
        <w:rPr>
          <w:sz w:val="24"/>
          <w:szCs w:val="24"/>
        </w:rPr>
        <w:t>The CSPRP have 15 working days to respond</w:t>
      </w:r>
      <w:r w:rsidR="006A2C66" w:rsidRPr="004D7F22">
        <w:rPr>
          <w:sz w:val="24"/>
          <w:szCs w:val="24"/>
        </w:rPr>
        <w:t xml:space="preserve"> to safeguarding partners</w:t>
      </w:r>
      <w:r w:rsidRPr="004D7F22">
        <w:rPr>
          <w:sz w:val="24"/>
          <w:szCs w:val="24"/>
        </w:rPr>
        <w:t xml:space="preserve"> following receipt of the rapid review, where they will consider if;</w:t>
      </w:r>
    </w:p>
    <w:p w14:paraId="3F3D45E9" w14:textId="77777777" w:rsidR="00E07015" w:rsidRPr="004D7F22" w:rsidRDefault="00E07015" w:rsidP="00E07015">
      <w:pPr>
        <w:pStyle w:val="NoSpacing"/>
        <w:jc w:val="both"/>
        <w:rPr>
          <w:sz w:val="24"/>
          <w:szCs w:val="24"/>
        </w:rPr>
      </w:pPr>
    </w:p>
    <w:p w14:paraId="2CAFCAB2" w14:textId="77777777" w:rsidR="00E07015" w:rsidRPr="004D7F22" w:rsidRDefault="00E07015" w:rsidP="00E07015">
      <w:pPr>
        <w:pStyle w:val="NoSpacing"/>
        <w:numPr>
          <w:ilvl w:val="0"/>
          <w:numId w:val="16"/>
        </w:numPr>
        <w:jc w:val="both"/>
        <w:rPr>
          <w:sz w:val="24"/>
          <w:szCs w:val="24"/>
        </w:rPr>
      </w:pPr>
      <w:r w:rsidRPr="004D7F22">
        <w:rPr>
          <w:sz w:val="24"/>
          <w:szCs w:val="24"/>
        </w:rPr>
        <w:t>A national review is appropriate</w:t>
      </w:r>
    </w:p>
    <w:p w14:paraId="6EFFDA57" w14:textId="77777777" w:rsidR="00E07015" w:rsidRPr="004D7F22" w:rsidRDefault="00E07015" w:rsidP="00E07015">
      <w:pPr>
        <w:pStyle w:val="NoSpacing"/>
        <w:numPr>
          <w:ilvl w:val="0"/>
          <w:numId w:val="16"/>
        </w:numPr>
        <w:jc w:val="both"/>
        <w:rPr>
          <w:sz w:val="24"/>
          <w:szCs w:val="24"/>
        </w:rPr>
      </w:pPr>
      <w:r w:rsidRPr="004D7F22">
        <w:rPr>
          <w:sz w:val="24"/>
          <w:szCs w:val="24"/>
        </w:rPr>
        <w:t>Further information is required to support their decision making.</w:t>
      </w:r>
    </w:p>
    <w:p w14:paraId="686826FA" w14:textId="77777777" w:rsidR="00E07015" w:rsidRPr="004D7F22" w:rsidRDefault="00E07015" w:rsidP="00E07015">
      <w:pPr>
        <w:pStyle w:val="NoSpacing"/>
        <w:numPr>
          <w:ilvl w:val="0"/>
          <w:numId w:val="16"/>
        </w:numPr>
        <w:jc w:val="both"/>
        <w:rPr>
          <w:sz w:val="24"/>
          <w:szCs w:val="24"/>
        </w:rPr>
      </w:pPr>
      <w:r w:rsidRPr="004D7F22">
        <w:rPr>
          <w:sz w:val="24"/>
          <w:szCs w:val="24"/>
        </w:rPr>
        <w:t xml:space="preserve">Whether they agree and support the outcomes and recommendations made by safeguarding partners within the rapid review. </w:t>
      </w:r>
    </w:p>
    <w:p w14:paraId="7EAC29E5" w14:textId="77777777" w:rsidR="00E07015" w:rsidRPr="004D7F22" w:rsidRDefault="00E07015" w:rsidP="00E07015">
      <w:pPr>
        <w:pStyle w:val="NoSpacing"/>
        <w:jc w:val="both"/>
        <w:rPr>
          <w:sz w:val="24"/>
          <w:szCs w:val="24"/>
        </w:rPr>
      </w:pPr>
    </w:p>
    <w:p w14:paraId="2DD037AB" w14:textId="77777777" w:rsidR="00E07015" w:rsidRPr="004D7F22" w:rsidRDefault="006A2C66" w:rsidP="00E07015">
      <w:pPr>
        <w:pStyle w:val="NoSpacing"/>
        <w:jc w:val="both"/>
        <w:rPr>
          <w:sz w:val="24"/>
          <w:szCs w:val="24"/>
        </w:rPr>
      </w:pPr>
      <w:r w:rsidRPr="004D7F22">
        <w:rPr>
          <w:sz w:val="24"/>
          <w:szCs w:val="24"/>
        </w:rPr>
        <w:t>Once a response is received, the NYSCP Business Unit will share it with the</w:t>
      </w:r>
      <w:r w:rsidR="00E07015" w:rsidRPr="004D7F22">
        <w:rPr>
          <w:sz w:val="24"/>
          <w:szCs w:val="24"/>
        </w:rPr>
        <w:t xml:space="preserve"> Chair of </w:t>
      </w:r>
      <w:r w:rsidRPr="004D7F22">
        <w:rPr>
          <w:sz w:val="24"/>
          <w:szCs w:val="24"/>
        </w:rPr>
        <w:t xml:space="preserve">NY </w:t>
      </w:r>
      <w:r w:rsidR="00E07015" w:rsidRPr="004D7F22">
        <w:rPr>
          <w:sz w:val="24"/>
          <w:szCs w:val="24"/>
        </w:rPr>
        <w:t>SPRG, NYP, NYCC CCG, NYSCP Independent Scrutineer and</w:t>
      </w:r>
      <w:r w:rsidRPr="004D7F22">
        <w:rPr>
          <w:sz w:val="24"/>
          <w:szCs w:val="24"/>
        </w:rPr>
        <w:t xml:space="preserve"> NY</w:t>
      </w:r>
      <w:r w:rsidR="00E07015" w:rsidRPr="004D7F22">
        <w:rPr>
          <w:sz w:val="24"/>
          <w:szCs w:val="24"/>
        </w:rPr>
        <w:t xml:space="preserve"> SPRG membership.</w:t>
      </w:r>
    </w:p>
    <w:p w14:paraId="27F4702B" w14:textId="77777777" w:rsidR="006A2C66" w:rsidRPr="004D7F22" w:rsidRDefault="006A2C66" w:rsidP="00E07015">
      <w:pPr>
        <w:pStyle w:val="NoSpacing"/>
        <w:jc w:val="both"/>
        <w:rPr>
          <w:color w:val="2F5496" w:themeColor="accent5" w:themeShade="BF"/>
          <w:sz w:val="24"/>
          <w:szCs w:val="24"/>
        </w:rPr>
      </w:pPr>
    </w:p>
    <w:p w14:paraId="677FDB50" w14:textId="77777777" w:rsidR="006A2C66" w:rsidRDefault="006A2C66" w:rsidP="00E07015">
      <w:pPr>
        <w:pStyle w:val="NoSpacing"/>
        <w:jc w:val="both"/>
        <w:rPr>
          <w:b/>
          <w:color w:val="2F5496" w:themeColor="accent5" w:themeShade="BF"/>
          <w:sz w:val="24"/>
          <w:szCs w:val="24"/>
        </w:rPr>
      </w:pPr>
      <w:r w:rsidRPr="004D7F22">
        <w:rPr>
          <w:b/>
          <w:color w:val="2F5496" w:themeColor="accent5" w:themeShade="BF"/>
          <w:sz w:val="24"/>
          <w:szCs w:val="24"/>
        </w:rPr>
        <w:t xml:space="preserve">Post Rapid Review </w:t>
      </w:r>
    </w:p>
    <w:p w14:paraId="2F0D8705" w14:textId="77777777" w:rsidR="004D7F22" w:rsidRPr="004D7F22" w:rsidRDefault="004D7F22" w:rsidP="00E07015">
      <w:pPr>
        <w:pStyle w:val="NoSpacing"/>
        <w:jc w:val="both"/>
        <w:rPr>
          <w:b/>
          <w:color w:val="2F5496" w:themeColor="accent5" w:themeShade="BF"/>
          <w:sz w:val="24"/>
          <w:szCs w:val="24"/>
        </w:rPr>
      </w:pPr>
    </w:p>
    <w:p w14:paraId="3501A76E" w14:textId="77777777" w:rsidR="004C0986" w:rsidRPr="004D7F22" w:rsidRDefault="006A2C66" w:rsidP="00E07015">
      <w:pPr>
        <w:pStyle w:val="NoSpacing"/>
        <w:jc w:val="both"/>
        <w:rPr>
          <w:sz w:val="24"/>
          <w:szCs w:val="24"/>
        </w:rPr>
      </w:pPr>
      <w:r w:rsidRPr="004D7F22">
        <w:rPr>
          <w:sz w:val="24"/>
          <w:szCs w:val="24"/>
        </w:rPr>
        <w:t>The NY SPRG will then convene a</w:t>
      </w:r>
      <w:r w:rsidR="00E07015" w:rsidRPr="004D7F22">
        <w:rPr>
          <w:sz w:val="24"/>
          <w:szCs w:val="24"/>
        </w:rPr>
        <w:t xml:space="preserve"> Post Rapid Review Meeting </w:t>
      </w:r>
      <w:r w:rsidRPr="004D7F22">
        <w:rPr>
          <w:sz w:val="24"/>
          <w:szCs w:val="24"/>
        </w:rPr>
        <w:t xml:space="preserve">within 10 working days </w:t>
      </w:r>
      <w:r w:rsidR="00E07015" w:rsidRPr="004D7F22">
        <w:rPr>
          <w:sz w:val="24"/>
          <w:szCs w:val="24"/>
        </w:rPr>
        <w:t>to review and consider</w:t>
      </w:r>
    </w:p>
    <w:p w14:paraId="1B80EDEC" w14:textId="77777777" w:rsidR="004C0986" w:rsidRPr="004D7F22" w:rsidRDefault="004C0986" w:rsidP="00E07015">
      <w:pPr>
        <w:pStyle w:val="NoSpacing"/>
        <w:jc w:val="both"/>
        <w:rPr>
          <w:sz w:val="24"/>
          <w:szCs w:val="24"/>
        </w:rPr>
      </w:pPr>
    </w:p>
    <w:p w14:paraId="3C342ABC" w14:textId="77777777" w:rsidR="004C0986" w:rsidRPr="004D7F22" w:rsidRDefault="004C0986" w:rsidP="00E07015">
      <w:pPr>
        <w:pStyle w:val="NoSpacing"/>
        <w:numPr>
          <w:ilvl w:val="0"/>
          <w:numId w:val="18"/>
        </w:numPr>
        <w:jc w:val="both"/>
        <w:rPr>
          <w:sz w:val="24"/>
          <w:szCs w:val="24"/>
        </w:rPr>
      </w:pPr>
      <w:r w:rsidRPr="004D7F22">
        <w:rPr>
          <w:sz w:val="24"/>
          <w:szCs w:val="24"/>
        </w:rPr>
        <w:t>The response</w:t>
      </w:r>
      <w:r w:rsidR="00E07015" w:rsidRPr="004D7F22">
        <w:rPr>
          <w:sz w:val="24"/>
          <w:szCs w:val="24"/>
        </w:rPr>
        <w:t xml:space="preserve"> </w:t>
      </w:r>
      <w:r w:rsidR="006A2C66" w:rsidRPr="004D7F22">
        <w:rPr>
          <w:sz w:val="24"/>
          <w:szCs w:val="24"/>
        </w:rPr>
        <w:t>from the CSPRP</w:t>
      </w:r>
    </w:p>
    <w:p w14:paraId="38584A62" w14:textId="77777777" w:rsidR="004C0986" w:rsidRPr="004D7F22" w:rsidRDefault="004C0986" w:rsidP="004C0986">
      <w:pPr>
        <w:pStyle w:val="NoSpacing"/>
        <w:numPr>
          <w:ilvl w:val="0"/>
          <w:numId w:val="17"/>
        </w:numPr>
        <w:jc w:val="both"/>
        <w:rPr>
          <w:sz w:val="24"/>
          <w:szCs w:val="24"/>
        </w:rPr>
      </w:pPr>
      <w:r w:rsidRPr="004D7F22">
        <w:rPr>
          <w:sz w:val="24"/>
          <w:szCs w:val="24"/>
        </w:rPr>
        <w:t>Formulate the next steps</w:t>
      </w:r>
    </w:p>
    <w:p w14:paraId="2E2A7482" w14:textId="77777777" w:rsidR="00E07015" w:rsidRPr="004D7F22" w:rsidRDefault="004C0986" w:rsidP="004C0986">
      <w:pPr>
        <w:pStyle w:val="NoSpacing"/>
        <w:numPr>
          <w:ilvl w:val="0"/>
          <w:numId w:val="17"/>
        </w:numPr>
        <w:jc w:val="both"/>
        <w:rPr>
          <w:sz w:val="24"/>
          <w:szCs w:val="24"/>
        </w:rPr>
      </w:pPr>
      <w:r w:rsidRPr="004D7F22">
        <w:rPr>
          <w:sz w:val="24"/>
          <w:szCs w:val="24"/>
        </w:rPr>
        <w:t>Parental engagement</w:t>
      </w:r>
    </w:p>
    <w:p w14:paraId="2DC47013" w14:textId="77777777" w:rsidR="00653CA6" w:rsidRPr="00653CA6" w:rsidRDefault="00653CA6" w:rsidP="00653CA6">
      <w:pPr>
        <w:pStyle w:val="NoSpacing"/>
        <w:rPr>
          <w:b/>
          <w:color w:val="2F5496" w:themeColor="accent5" w:themeShade="BF"/>
          <w:sz w:val="24"/>
        </w:rPr>
      </w:pPr>
    </w:p>
    <w:sectPr w:rsidR="00653CA6" w:rsidRPr="00653CA6" w:rsidSect="009B495A">
      <w:type w:val="continuous"/>
      <w:pgSz w:w="11906" w:h="16838"/>
      <w:pgMar w:top="567" w:right="567" w:bottom="567" w:left="567" w:header="709" w:footer="709" w:gutter="0"/>
      <w:cols w:num="2" w:space="84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3603" w16cex:dateUtc="2021-06-22T09:12:00Z"/>
  <w16cex:commentExtensible w16cex:durableId="247C3640" w16cex:dateUtc="2021-06-22T09:13:00Z"/>
  <w16cex:commentExtensible w16cex:durableId="247C3659" w16cex:dateUtc="2021-06-22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29B18" w16cid:durableId="247C3603"/>
  <w16cid:commentId w16cid:paraId="3EF95129" w16cid:durableId="247C3640"/>
  <w16cid:commentId w16cid:paraId="18BA0273" w16cid:durableId="247C3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8135" w14:textId="77777777" w:rsidR="009336F0" w:rsidRDefault="009336F0" w:rsidP="001400DB">
      <w:pPr>
        <w:spacing w:after="0" w:line="240" w:lineRule="auto"/>
      </w:pPr>
      <w:r>
        <w:separator/>
      </w:r>
    </w:p>
  </w:endnote>
  <w:endnote w:type="continuationSeparator" w:id="0">
    <w:p w14:paraId="7CB4CCA0" w14:textId="77777777" w:rsidR="009336F0" w:rsidRDefault="009336F0" w:rsidP="001400DB">
      <w:pPr>
        <w:spacing w:after="0" w:line="240" w:lineRule="auto"/>
      </w:pPr>
      <w:r>
        <w:continuationSeparator/>
      </w:r>
    </w:p>
  </w:endnote>
  <w:endnote w:id="1">
    <w:p w14:paraId="216BFA22" w14:textId="77777777" w:rsidR="007A7D55" w:rsidRDefault="007A7D55">
      <w:pPr>
        <w:pStyle w:val="EndnoteText"/>
      </w:pPr>
      <w:r>
        <w:rPr>
          <w:rStyle w:val="EndnoteReference"/>
        </w:rPr>
        <w:endnoteRef/>
      </w:r>
      <w:r>
        <w:t xml:space="preserve"> </w:t>
      </w:r>
      <w:hyperlink r:id="rId1" w:history="1">
        <w:r>
          <w:rPr>
            <w:rStyle w:val="Hyperlink"/>
          </w:rPr>
          <w:t>Child Safeguarding Practice Review Panel - GOV.UK (www.gov.uk)</w:t>
        </w:r>
      </w:hyperlink>
    </w:p>
    <w:p w14:paraId="4667AFA9" w14:textId="77777777" w:rsidR="007A7D55" w:rsidRDefault="007A7D55">
      <w:pPr>
        <w:pStyle w:val="EndnoteText"/>
      </w:pPr>
      <w:r>
        <w:rPr>
          <w:rStyle w:val="EndnoteReference"/>
        </w:rPr>
        <w:endnoteRef/>
      </w:r>
      <w:r>
        <w:t xml:space="preserve"> </w:t>
      </w:r>
      <w:hyperlink r:id="rId2" w:history="1">
        <w:r>
          <w:rPr>
            <w:rStyle w:val="Hyperlink"/>
          </w:rPr>
          <w:t>Working Together to Safeguard Children 2018 (publishing.service.gov.uk)</w:t>
        </w:r>
      </w:hyperlink>
    </w:p>
    <w:p w14:paraId="12CAC0E9" w14:textId="77777777" w:rsidR="007A7D55" w:rsidRDefault="007A7D55">
      <w:pPr>
        <w:pStyle w:val="EndnoteText"/>
      </w:pPr>
    </w:p>
  </w:endnote>
  <w:endnote w:id="2">
    <w:p w14:paraId="07576E4F" w14:textId="77777777" w:rsidR="007A7D55" w:rsidRDefault="007A7D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A5C2" w14:textId="77777777" w:rsidR="000D27BA" w:rsidRDefault="000D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24EB" w14:textId="6B6AE9C9" w:rsidR="000D27BA" w:rsidRDefault="000D27B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36F0">
      <w:rPr>
        <w:caps/>
        <w:noProof/>
        <w:color w:val="5B9BD5" w:themeColor="accent1"/>
      </w:rPr>
      <w:t>1</w:t>
    </w:r>
    <w:r>
      <w:rPr>
        <w:caps/>
        <w:noProof/>
        <w:color w:val="5B9BD5" w:themeColor="accent1"/>
      </w:rPr>
      <w:fldChar w:fldCharType="end"/>
    </w:r>
  </w:p>
  <w:p w14:paraId="0D837E0A" w14:textId="0A58C54F" w:rsidR="00243302" w:rsidRDefault="00243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C1F7" w14:textId="77777777" w:rsidR="000D27BA" w:rsidRDefault="000D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6405" w14:textId="77777777" w:rsidR="009336F0" w:rsidRDefault="009336F0" w:rsidP="001400DB">
      <w:pPr>
        <w:spacing w:after="0" w:line="240" w:lineRule="auto"/>
      </w:pPr>
      <w:r>
        <w:separator/>
      </w:r>
    </w:p>
  </w:footnote>
  <w:footnote w:type="continuationSeparator" w:id="0">
    <w:p w14:paraId="4D95D9A0" w14:textId="77777777" w:rsidR="009336F0" w:rsidRDefault="009336F0"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66B6" w14:textId="77777777" w:rsidR="000D27BA" w:rsidRDefault="000D2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39C9" w14:textId="77777777" w:rsidR="000D27BA" w:rsidRDefault="000D2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5E1C" w14:textId="77777777" w:rsidR="000D27BA" w:rsidRDefault="000D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9C95F98"/>
    <w:multiLevelType w:val="hybridMultilevel"/>
    <w:tmpl w:val="D49E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4326"/>
    <w:multiLevelType w:val="hybridMultilevel"/>
    <w:tmpl w:val="9E86E510"/>
    <w:lvl w:ilvl="0" w:tplc="C9AA33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133221"/>
    <w:multiLevelType w:val="multilevel"/>
    <w:tmpl w:val="C29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D7200C"/>
    <w:multiLevelType w:val="hybridMultilevel"/>
    <w:tmpl w:val="3F1091F0"/>
    <w:lvl w:ilvl="0" w:tplc="C9AA33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BB"/>
    <w:multiLevelType w:val="hybridMultilevel"/>
    <w:tmpl w:val="CC4E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1579D"/>
    <w:multiLevelType w:val="hybridMultilevel"/>
    <w:tmpl w:val="CD36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8752F"/>
    <w:multiLevelType w:val="hybridMultilevel"/>
    <w:tmpl w:val="9B2A3CB2"/>
    <w:lvl w:ilvl="0" w:tplc="C9AA33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267ED"/>
    <w:multiLevelType w:val="hybridMultilevel"/>
    <w:tmpl w:val="5532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747A6"/>
    <w:multiLevelType w:val="hybridMultilevel"/>
    <w:tmpl w:val="4830C118"/>
    <w:lvl w:ilvl="0" w:tplc="C9AA33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9"/>
  </w:num>
  <w:num w:numId="7">
    <w:abstractNumId w:val="12"/>
  </w:num>
  <w:num w:numId="8">
    <w:abstractNumId w:val="11"/>
  </w:num>
  <w:num w:numId="9">
    <w:abstractNumId w:val="13"/>
  </w:num>
  <w:num w:numId="10">
    <w:abstractNumId w:val="3"/>
  </w:num>
  <w:num w:numId="11">
    <w:abstractNumId w:val="17"/>
  </w:num>
  <w:num w:numId="12">
    <w:abstractNumId w:val="18"/>
  </w:num>
  <w:num w:numId="13">
    <w:abstractNumId w:val="16"/>
  </w:num>
  <w:num w:numId="14">
    <w:abstractNumId w:val="10"/>
  </w:num>
  <w:num w:numId="15">
    <w:abstractNumId w:val="2"/>
  </w:num>
  <w:num w:numId="16">
    <w:abstractNumId w:val="4"/>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26C87"/>
    <w:rsid w:val="000D27BA"/>
    <w:rsid w:val="001156DF"/>
    <w:rsid w:val="001400DB"/>
    <w:rsid w:val="00190CB1"/>
    <w:rsid w:val="001A72A1"/>
    <w:rsid w:val="001B3865"/>
    <w:rsid w:val="00243302"/>
    <w:rsid w:val="00290587"/>
    <w:rsid w:val="002E23FD"/>
    <w:rsid w:val="003C46E7"/>
    <w:rsid w:val="00446A83"/>
    <w:rsid w:val="00492167"/>
    <w:rsid w:val="004C0986"/>
    <w:rsid w:val="004D7F22"/>
    <w:rsid w:val="004F1B06"/>
    <w:rsid w:val="005E0E74"/>
    <w:rsid w:val="00627D14"/>
    <w:rsid w:val="00644D67"/>
    <w:rsid w:val="00653CA6"/>
    <w:rsid w:val="00694922"/>
    <w:rsid w:val="006A2C66"/>
    <w:rsid w:val="006A4173"/>
    <w:rsid w:val="006A574B"/>
    <w:rsid w:val="00765B9D"/>
    <w:rsid w:val="007A7D55"/>
    <w:rsid w:val="00847B43"/>
    <w:rsid w:val="008E67DB"/>
    <w:rsid w:val="009164ED"/>
    <w:rsid w:val="009336F0"/>
    <w:rsid w:val="00961FF3"/>
    <w:rsid w:val="009A6829"/>
    <w:rsid w:val="009B495A"/>
    <w:rsid w:val="009F031D"/>
    <w:rsid w:val="00A04BC4"/>
    <w:rsid w:val="00AB2AE7"/>
    <w:rsid w:val="00AE696B"/>
    <w:rsid w:val="00AF5898"/>
    <w:rsid w:val="00C61626"/>
    <w:rsid w:val="00C71343"/>
    <w:rsid w:val="00C8100F"/>
    <w:rsid w:val="00CA13B3"/>
    <w:rsid w:val="00D67C2D"/>
    <w:rsid w:val="00D75F1A"/>
    <w:rsid w:val="00D81235"/>
    <w:rsid w:val="00D863CD"/>
    <w:rsid w:val="00D91A61"/>
    <w:rsid w:val="00DD3CB5"/>
    <w:rsid w:val="00E007FC"/>
    <w:rsid w:val="00E07015"/>
    <w:rsid w:val="00E218A5"/>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70B6"/>
  <w15:docId w15:val="{C01BF3B4-F755-4DE9-921C-56CBEEA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NoSpacing">
    <w:name w:val="No Spacing"/>
    <w:uiPriority w:val="1"/>
    <w:qFormat/>
    <w:rsid w:val="00653CA6"/>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EndnoteText">
    <w:name w:val="endnote text"/>
    <w:basedOn w:val="Normal"/>
    <w:link w:val="EndnoteTextChar"/>
    <w:uiPriority w:val="99"/>
    <w:semiHidden/>
    <w:unhideWhenUsed/>
    <w:rsid w:val="007A7D55"/>
    <w:pPr>
      <w:spacing w:after="0" w:line="240" w:lineRule="auto"/>
    </w:pPr>
  </w:style>
  <w:style w:type="character" w:customStyle="1" w:styleId="EndnoteTextChar">
    <w:name w:val="Endnote Text Char"/>
    <w:basedOn w:val="DefaultParagraphFont"/>
    <w:link w:val="EndnoteText"/>
    <w:uiPriority w:val="99"/>
    <w:semiHidden/>
    <w:rsid w:val="007A7D55"/>
    <w:rPr>
      <w:rFonts w:ascii="Calibri" w:eastAsia="Times New Roman" w:hAnsi="Calibri" w:cs="Times New Roman"/>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7A7D55"/>
    <w:rPr>
      <w:vertAlign w:val="superscript"/>
    </w:rPr>
  </w:style>
  <w:style w:type="paragraph" w:styleId="BalloonText">
    <w:name w:val="Balloon Text"/>
    <w:basedOn w:val="Normal"/>
    <w:link w:val="BalloonTextChar"/>
    <w:uiPriority w:val="99"/>
    <w:semiHidden/>
    <w:unhideWhenUsed/>
    <w:rsid w:val="0002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87"/>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026C87"/>
    <w:rPr>
      <w:sz w:val="16"/>
      <w:szCs w:val="16"/>
    </w:rPr>
  </w:style>
  <w:style w:type="paragraph" w:styleId="CommentText">
    <w:name w:val="annotation text"/>
    <w:basedOn w:val="Normal"/>
    <w:link w:val="CommentTextChar"/>
    <w:uiPriority w:val="99"/>
    <w:semiHidden/>
    <w:unhideWhenUsed/>
    <w:rsid w:val="00026C87"/>
    <w:pPr>
      <w:spacing w:line="240" w:lineRule="auto"/>
    </w:pPr>
  </w:style>
  <w:style w:type="character" w:customStyle="1" w:styleId="CommentTextChar">
    <w:name w:val="Comment Text Char"/>
    <w:basedOn w:val="DefaultParagraphFont"/>
    <w:link w:val="CommentText"/>
    <w:uiPriority w:val="99"/>
    <w:semiHidden/>
    <w:rsid w:val="00026C87"/>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026C87"/>
    <w:rPr>
      <w:b/>
      <w:bCs/>
    </w:rPr>
  </w:style>
  <w:style w:type="character" w:customStyle="1" w:styleId="CommentSubjectChar">
    <w:name w:val="Comment Subject Char"/>
    <w:basedOn w:val="CommentTextChar"/>
    <w:link w:val="CommentSubject"/>
    <w:uiPriority w:val="99"/>
    <w:semiHidden/>
    <w:rsid w:val="00026C87"/>
    <w:rPr>
      <w:rFonts w:ascii="Calibri" w:eastAsia="Times New Roman" w:hAnsi="Calibri" w:cs="Times New Roman"/>
      <w:b/>
      <w:bCs/>
      <w:color w:val="000000"/>
      <w:kern w:val="28"/>
      <w:sz w:val="20"/>
      <w:szCs w:val="20"/>
      <w:lang w:eastAsia="en-GB"/>
      <w14:ligatures w14:val="standard"/>
      <w14:cntxtAlts/>
    </w:rPr>
  </w:style>
  <w:style w:type="paragraph" w:styleId="Revision">
    <w:name w:val="Revision"/>
    <w:hidden/>
    <w:uiPriority w:val="99"/>
    <w:semiHidden/>
    <w:rsid w:val="00026C87"/>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75710">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hyperlink" Target="https://www.gov.uk/government/organisations/child-safeguarding-practice-review-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795D-FBE0-4106-A861-2C62153B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Ali Firby</cp:lastModifiedBy>
  <cp:revision>5</cp:revision>
  <dcterms:created xsi:type="dcterms:W3CDTF">2021-06-24T14:41:00Z</dcterms:created>
  <dcterms:modified xsi:type="dcterms:W3CDTF">2021-07-01T07:18:00Z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2021-06-22T08:09:52Z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3bb33355-f087-48d7-b396-0000acf5cd37</vt:lpwstr>
  </property>
  <property fmtid="{D5CDD505-2E9C-101B-9397-08002B2CF9AE}" pid="8" name="MSIP_Label_13f27b87-3675-4fb5-85ad-fce3efd3a6b0_ContentBits">
    <vt:lpwstr>2</vt:lpwstr>
  </property>
</Properties>
</file>